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6E8E5" w14:textId="77777777" w:rsidR="009162E2" w:rsidRDefault="00D85BDB">
      <w:pPr>
        <w:tabs>
          <w:tab w:val="center" w:pos="2468"/>
          <w:tab w:val="center" w:pos="5265"/>
          <w:tab w:val="center" w:pos="5985"/>
          <w:tab w:val="center" w:pos="6705"/>
          <w:tab w:val="right" w:pos="9412"/>
        </w:tabs>
        <w:spacing w:after="0" w:line="259" w:lineRule="auto"/>
        <w:ind w:left="0" w:right="0" w:firstLine="0"/>
      </w:pPr>
      <w:r>
        <w:rPr>
          <w:rFonts w:ascii="Calibri" w:eastAsia="Calibri" w:hAnsi="Calibri" w:cs="Calibri"/>
          <w:color w:val="000000"/>
        </w:rPr>
        <w:tab/>
      </w:r>
      <w:r>
        <w:rPr>
          <w:b/>
          <w:color w:val="221E1F"/>
          <w:sz w:val="24"/>
        </w:rPr>
        <w:t xml:space="preserve">California State University, Long </w:t>
      </w:r>
      <w:proofErr w:type="gramStart"/>
      <w:r>
        <w:rPr>
          <w:b/>
          <w:color w:val="221E1F"/>
          <w:sz w:val="24"/>
        </w:rPr>
        <w:t xml:space="preserve">Beach  </w:t>
      </w:r>
      <w:r>
        <w:rPr>
          <w:b/>
          <w:color w:val="221E1F"/>
          <w:sz w:val="24"/>
        </w:rPr>
        <w:tab/>
      </w:r>
      <w:proofErr w:type="gramEnd"/>
      <w:r>
        <w:rPr>
          <w:b/>
          <w:color w:val="221E1F"/>
          <w:sz w:val="24"/>
        </w:rPr>
        <w:t xml:space="preserve"> </w:t>
      </w:r>
      <w:r>
        <w:rPr>
          <w:b/>
          <w:color w:val="221E1F"/>
          <w:sz w:val="24"/>
        </w:rPr>
        <w:tab/>
        <w:t xml:space="preserve"> </w:t>
      </w:r>
      <w:r>
        <w:rPr>
          <w:b/>
          <w:color w:val="221E1F"/>
          <w:sz w:val="24"/>
        </w:rPr>
        <w:tab/>
        <w:t xml:space="preserve"> </w:t>
      </w:r>
      <w:r>
        <w:rPr>
          <w:b/>
          <w:color w:val="221E1F"/>
          <w:sz w:val="24"/>
        </w:rPr>
        <w:tab/>
        <w:t xml:space="preserve">Policy Statement </w:t>
      </w:r>
    </w:p>
    <w:p w14:paraId="6CB17E1E" w14:textId="77777777" w:rsidR="009162E2" w:rsidRDefault="00D85BDB">
      <w:pPr>
        <w:spacing w:after="0" w:line="259" w:lineRule="auto"/>
        <w:ind w:left="10" w:right="43" w:hanging="10"/>
        <w:jc w:val="right"/>
      </w:pPr>
      <w:r>
        <w:rPr>
          <w:b/>
          <w:color w:val="221E1F"/>
          <w:sz w:val="24"/>
        </w:rPr>
        <w:t xml:space="preserve">22-11 </w:t>
      </w:r>
    </w:p>
    <w:p w14:paraId="7040386F" w14:textId="77777777" w:rsidR="009162E2" w:rsidRDefault="00D85BDB">
      <w:pPr>
        <w:spacing w:after="0" w:line="259" w:lineRule="auto"/>
        <w:ind w:left="0" w:right="46" w:firstLine="0"/>
        <w:jc w:val="right"/>
      </w:pPr>
      <w:r>
        <w:rPr>
          <w:color w:val="221E1F"/>
          <w:sz w:val="20"/>
        </w:rPr>
        <w:t>April 25, 2022</w:t>
      </w:r>
      <w:r>
        <w:rPr>
          <w:b/>
          <w:color w:val="221E1F"/>
          <w:sz w:val="24"/>
        </w:rPr>
        <w:t xml:space="preserve"> </w:t>
      </w:r>
    </w:p>
    <w:p w14:paraId="6AC1FE1F" w14:textId="77777777" w:rsidR="009162E2" w:rsidRDefault="00D85BDB">
      <w:pPr>
        <w:spacing w:after="174" w:line="259" w:lineRule="auto"/>
        <w:ind w:left="0" w:right="0" w:firstLine="0"/>
        <w:jc w:val="right"/>
      </w:pPr>
      <w:r>
        <w:rPr>
          <w:rFonts w:ascii="Calibri" w:eastAsia="Calibri" w:hAnsi="Calibri" w:cs="Calibri"/>
          <w:noProof/>
          <w:color w:val="000000"/>
        </w:rPr>
        <mc:AlternateContent>
          <mc:Choice Requires="wpg">
            <w:drawing>
              <wp:inline distT="0" distB="0" distL="0" distR="0" wp14:anchorId="5D55A52A" wp14:editId="39AE1BB8">
                <wp:extent cx="5943600" cy="9144"/>
                <wp:effectExtent l="0" t="0" r="0" b="0"/>
                <wp:docPr id="2083" name="Group 2083"/>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576" name="Shape 2576"/>
                        <wps:cNvSpPr/>
                        <wps:spPr>
                          <a:xfrm>
                            <a:off x="0" y="4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77" name="Shape 2577"/>
                        <wps:cNvSpPr/>
                        <wps:spPr>
                          <a:xfrm>
                            <a:off x="4572" y="4573"/>
                            <a:ext cx="5934457" cy="9144"/>
                          </a:xfrm>
                          <a:custGeom>
                            <a:avLst/>
                            <a:gdLst/>
                            <a:ahLst/>
                            <a:cxnLst/>
                            <a:rect l="0" t="0" r="0" b="0"/>
                            <a:pathLst>
                              <a:path w="5934457" h="9144">
                                <a:moveTo>
                                  <a:pt x="0" y="0"/>
                                </a:moveTo>
                                <a:lnTo>
                                  <a:pt x="5934457" y="0"/>
                                </a:lnTo>
                                <a:lnTo>
                                  <a:pt x="5934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78" name="Shape 2578"/>
                        <wps:cNvSpPr/>
                        <wps:spPr>
                          <a:xfrm>
                            <a:off x="5939028" y="457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79" name="Shape 2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80" name="Shape 2580"/>
                        <wps:cNvSpPr/>
                        <wps:spPr>
                          <a:xfrm>
                            <a:off x="4572" y="0"/>
                            <a:ext cx="5934457" cy="9144"/>
                          </a:xfrm>
                          <a:custGeom>
                            <a:avLst/>
                            <a:gdLst/>
                            <a:ahLst/>
                            <a:cxnLst/>
                            <a:rect l="0" t="0" r="0" b="0"/>
                            <a:pathLst>
                              <a:path w="5934457" h="9144">
                                <a:moveTo>
                                  <a:pt x="0" y="0"/>
                                </a:moveTo>
                                <a:lnTo>
                                  <a:pt x="5934457" y="0"/>
                                </a:lnTo>
                                <a:lnTo>
                                  <a:pt x="5934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81" name="Shape 2581"/>
                        <wps:cNvSpPr/>
                        <wps:spPr>
                          <a:xfrm>
                            <a:off x="5939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2083" style="width:468pt;height:0.720032pt;mso-position-horizontal-relative:char;mso-position-vertical-relative:line" coordsize="59436,91">
                <v:shape id="Shape 2582" style="position:absolute;width:91;height:91;left:0;top:45;" coordsize="9144,9144" path="m0,0l9144,0l9144,9144l0,9144l0,0">
                  <v:stroke weight="0pt" endcap="flat" joinstyle="miter" miterlimit="10" on="false" color="#000000" opacity="0"/>
                  <v:fill on="true" color="#a0a0a0"/>
                </v:shape>
                <v:shape id="Shape 2583" style="position:absolute;width:59344;height:91;left:45;top:45;" coordsize="5934457,9144" path="m0,0l5934457,0l5934457,9144l0,9144l0,0">
                  <v:stroke weight="0pt" endcap="flat" joinstyle="miter" miterlimit="10" on="false" color="#000000" opacity="0"/>
                  <v:fill on="true" color="#a0a0a0"/>
                </v:shape>
                <v:shape id="Shape 2584" style="position:absolute;width:91;height:91;left:59390;top:45;" coordsize="9144,9144" path="m0,0l9144,0l9144,9144l0,9144l0,0">
                  <v:stroke weight="0pt" endcap="flat" joinstyle="miter" miterlimit="10" on="false" color="#000000" opacity="0"/>
                  <v:fill on="true" color="#a0a0a0"/>
                </v:shape>
                <v:shape id="Shape 2585" style="position:absolute;width:91;height:91;left:0;top:0;" coordsize="9144,9144" path="m0,0l9144,0l9144,9144l0,9144l0,0">
                  <v:stroke weight="0pt" endcap="flat" joinstyle="miter" miterlimit="10" on="false" color="#000000" opacity="0"/>
                  <v:fill on="true" color="#a0a0a0"/>
                </v:shape>
                <v:shape id="Shape 2586" style="position:absolute;width:59344;height:91;left:45;top:0;" coordsize="5934457,9144" path="m0,0l5934457,0l5934457,9144l0,9144l0,0">
                  <v:stroke weight="0pt" endcap="flat" joinstyle="miter" miterlimit="10" on="false" color="#000000" opacity="0"/>
                  <v:fill on="true" color="#a0a0a0"/>
                </v:shape>
                <v:shape id="Shape 2587" style="position:absolute;width:91;height:91;left:59390;top:0;" coordsize="9144,9144" path="m0,0l9144,0l9144,9144l0,9144l0,0">
                  <v:stroke weight="0pt" endcap="flat" joinstyle="miter" miterlimit="10" on="false" color="#000000" opacity="0"/>
                  <v:fill on="true" color="#a0a0a0"/>
                </v:shape>
              </v:group>
            </w:pict>
          </mc:Fallback>
        </mc:AlternateContent>
      </w:r>
      <w:r>
        <w:rPr>
          <w:rFonts w:ascii="Calibri" w:eastAsia="Calibri" w:hAnsi="Calibri" w:cs="Calibri"/>
          <w:color w:val="221E1F"/>
        </w:rPr>
        <w:t xml:space="preserve"> </w:t>
      </w:r>
    </w:p>
    <w:p w14:paraId="2F3ED895" w14:textId="77777777" w:rsidR="009162E2" w:rsidRDefault="00D85BDB">
      <w:pPr>
        <w:pStyle w:val="Heading1"/>
        <w:ind w:right="61"/>
      </w:pPr>
      <w:r>
        <w:t xml:space="preserve">University Honors Program </w:t>
      </w:r>
    </w:p>
    <w:p w14:paraId="1907A67F" w14:textId="77777777" w:rsidR="009162E2" w:rsidRDefault="00D85BDB">
      <w:pPr>
        <w:spacing w:after="0" w:line="259" w:lineRule="auto"/>
        <w:ind w:left="1" w:right="0" w:firstLine="0"/>
        <w:jc w:val="center"/>
      </w:pPr>
      <w:r>
        <w:rPr>
          <w:color w:val="221E1F"/>
          <w:sz w:val="18"/>
        </w:rPr>
        <w:t xml:space="preserve"> </w:t>
      </w:r>
    </w:p>
    <w:p w14:paraId="558B0BDC" w14:textId="77777777" w:rsidR="009162E2" w:rsidRDefault="00D85BDB">
      <w:pPr>
        <w:spacing w:after="0" w:line="259" w:lineRule="auto"/>
        <w:ind w:left="153" w:right="0" w:firstLine="0"/>
      </w:pPr>
      <w:r>
        <w:rPr>
          <w:color w:val="221E1F"/>
          <w:sz w:val="18"/>
        </w:rPr>
        <w:t>(</w:t>
      </w:r>
      <w:r>
        <w:rPr>
          <w:color w:val="231F20"/>
          <w:sz w:val="18"/>
        </w:rPr>
        <w:t xml:space="preserve">This policy supersedes PS 16-16 and 08-12. It </w:t>
      </w:r>
      <w:r>
        <w:rPr>
          <w:color w:val="221E1F"/>
          <w:sz w:val="18"/>
        </w:rPr>
        <w:t xml:space="preserve">was recommended by the Academic Senate on April 14, 2022 and </w:t>
      </w:r>
    </w:p>
    <w:p w14:paraId="5252D9D4" w14:textId="77777777" w:rsidR="009162E2" w:rsidRDefault="00D85BDB">
      <w:pPr>
        <w:spacing w:after="0" w:line="259" w:lineRule="auto"/>
        <w:ind w:left="0" w:right="46" w:firstLine="0"/>
        <w:jc w:val="center"/>
      </w:pPr>
      <w:r>
        <w:rPr>
          <w:color w:val="221E1F"/>
          <w:sz w:val="18"/>
        </w:rPr>
        <w:t xml:space="preserve">approved by the President on April 18, 2022.) </w:t>
      </w:r>
    </w:p>
    <w:p w14:paraId="4F7B6ADD" w14:textId="77777777" w:rsidR="009162E2" w:rsidRDefault="00D85BDB">
      <w:pPr>
        <w:spacing w:after="36" w:line="259" w:lineRule="auto"/>
        <w:ind w:left="1" w:right="0" w:firstLine="0"/>
        <w:jc w:val="center"/>
      </w:pPr>
      <w:r>
        <w:rPr>
          <w:color w:val="221E1F"/>
          <w:sz w:val="18"/>
        </w:rPr>
        <w:t xml:space="preserve"> </w:t>
      </w:r>
    </w:p>
    <w:p w14:paraId="4CBF79C0" w14:textId="77777777" w:rsidR="009162E2" w:rsidRDefault="00D85BDB">
      <w:pPr>
        <w:spacing w:after="0" w:line="259" w:lineRule="auto"/>
        <w:ind w:left="2" w:right="0" w:firstLine="0"/>
      </w:pPr>
      <w:r>
        <w:rPr>
          <w:color w:val="000000"/>
        </w:rPr>
        <w:t xml:space="preserve"> </w:t>
      </w:r>
    </w:p>
    <w:p w14:paraId="68AE8FF1" w14:textId="77777777" w:rsidR="009162E2" w:rsidRDefault="00D85BDB">
      <w:pPr>
        <w:spacing w:after="27" w:line="259" w:lineRule="auto"/>
        <w:ind w:left="2" w:right="0" w:firstLine="0"/>
      </w:pPr>
      <w:r>
        <w:rPr>
          <w:color w:val="000000"/>
        </w:rPr>
        <w:t xml:space="preserve"> </w:t>
      </w:r>
    </w:p>
    <w:p w14:paraId="0BD4FE8D" w14:textId="77777777" w:rsidR="009162E2" w:rsidRDefault="00D85BDB">
      <w:pPr>
        <w:pStyle w:val="Heading2"/>
        <w:tabs>
          <w:tab w:val="center" w:pos="2272"/>
        </w:tabs>
        <w:ind w:left="0" w:firstLine="0"/>
      </w:pPr>
      <w:r>
        <w:rPr>
          <w:rFonts w:ascii="Calibri" w:eastAsia="Calibri" w:hAnsi="Calibri" w:cs="Calibri"/>
          <w:b w:val="0"/>
          <w:sz w:val="24"/>
        </w:rPr>
        <w:t>1.</w:t>
      </w:r>
      <w:r>
        <w:rPr>
          <w:b w:val="0"/>
          <w:sz w:val="24"/>
        </w:rPr>
        <w:t xml:space="preserve"> </w:t>
      </w:r>
      <w:r>
        <w:rPr>
          <w:b w:val="0"/>
          <w:sz w:val="24"/>
        </w:rPr>
        <w:tab/>
      </w:r>
      <w:r>
        <w:t>University Honors Program</w:t>
      </w:r>
      <w:r>
        <w:rPr>
          <w:color w:val="000000"/>
        </w:rPr>
        <w:t xml:space="preserve"> </w:t>
      </w:r>
    </w:p>
    <w:p w14:paraId="05360D37" w14:textId="77777777" w:rsidR="009162E2" w:rsidRDefault="00D85BDB">
      <w:pPr>
        <w:spacing w:after="2" w:line="272" w:lineRule="auto"/>
        <w:ind w:left="838" w:right="264"/>
        <w:jc w:val="both"/>
      </w:pPr>
      <w:r>
        <w:t>The University Honors Program exists to meet the needs of diverse high-performing students who want an enriched undergraduate experience. It offers two main options: Plan 1 is for freshmen and Plan 2 for transfer and continuing students. The University Hon</w:t>
      </w:r>
      <w:r>
        <w:t xml:space="preserve">ors Program also offers specialized options, “tracks,” such as General, Business, and Engineering. There is also a Global emphasis option.  </w:t>
      </w:r>
    </w:p>
    <w:p w14:paraId="05A5ADFB" w14:textId="77777777" w:rsidR="009162E2" w:rsidRDefault="00D85BDB">
      <w:pPr>
        <w:spacing w:after="11" w:line="259" w:lineRule="auto"/>
        <w:ind w:left="844" w:right="0" w:firstLine="0"/>
      </w:pPr>
      <w:r>
        <w:t xml:space="preserve"> </w:t>
      </w:r>
    </w:p>
    <w:p w14:paraId="40103619" w14:textId="77777777" w:rsidR="009162E2" w:rsidRDefault="00D85BDB">
      <w:pPr>
        <w:ind w:left="838" w:right="190"/>
      </w:pPr>
      <w:r>
        <w:t xml:space="preserve">In order to graduate from the University Honors Program, a cumulative GPA of 3.00 or better is required. </w:t>
      </w:r>
    </w:p>
    <w:p w14:paraId="48F83499" w14:textId="77777777" w:rsidR="009162E2" w:rsidRDefault="00D85BDB">
      <w:pPr>
        <w:spacing w:after="11" w:line="259" w:lineRule="auto"/>
        <w:ind w:left="844" w:right="0" w:firstLine="0"/>
      </w:pPr>
      <w:r>
        <w:t xml:space="preserve"> </w:t>
      </w:r>
    </w:p>
    <w:p w14:paraId="7506B16A" w14:textId="77777777" w:rsidR="009162E2" w:rsidRDefault="00D85BDB">
      <w:pPr>
        <w:ind w:left="838" w:right="44"/>
      </w:pPr>
      <w:r>
        <w:t>Guide</w:t>
      </w:r>
      <w:r>
        <w:t xml:space="preserve">lines for admission to the University Honors Program and changes to the curriculum are proposed by the Director of the University Honors Program and the </w:t>
      </w:r>
    </w:p>
    <w:p w14:paraId="1CD11590" w14:textId="77777777" w:rsidR="009162E2" w:rsidRDefault="00D85BDB">
      <w:pPr>
        <w:ind w:left="838" w:right="44"/>
      </w:pPr>
      <w:r>
        <w:t>Honors Council and approved by the Curriculum and Educational Policies Council.</w:t>
      </w:r>
      <w:r>
        <w:rPr>
          <w:color w:val="000000"/>
        </w:rPr>
        <w:t xml:space="preserve"> </w:t>
      </w:r>
    </w:p>
    <w:p w14:paraId="1C34F813" w14:textId="77777777" w:rsidR="009162E2" w:rsidRDefault="00D85BDB">
      <w:pPr>
        <w:spacing w:after="68" w:line="259" w:lineRule="auto"/>
        <w:ind w:left="843" w:right="0" w:firstLine="0"/>
      </w:pPr>
      <w:r>
        <w:rPr>
          <w:color w:val="000000"/>
        </w:rPr>
        <w:t xml:space="preserve"> </w:t>
      </w:r>
    </w:p>
    <w:p w14:paraId="371DC4AC" w14:textId="77777777" w:rsidR="009162E2" w:rsidRDefault="00D85BDB">
      <w:pPr>
        <w:pStyle w:val="Heading2"/>
        <w:tabs>
          <w:tab w:val="center" w:pos="1288"/>
        </w:tabs>
        <w:spacing w:after="39"/>
        <w:ind w:left="0" w:firstLine="0"/>
      </w:pPr>
      <w:r>
        <w:rPr>
          <w:rFonts w:ascii="Calibri" w:eastAsia="Calibri" w:hAnsi="Calibri" w:cs="Calibri"/>
          <w:b w:val="0"/>
          <w:sz w:val="24"/>
        </w:rPr>
        <w:t>2.</w:t>
      </w:r>
      <w:r>
        <w:rPr>
          <w:b w:val="0"/>
          <w:sz w:val="24"/>
        </w:rPr>
        <w:t xml:space="preserve"> </w:t>
      </w:r>
      <w:r>
        <w:rPr>
          <w:b w:val="0"/>
          <w:sz w:val="24"/>
        </w:rPr>
        <w:tab/>
      </w:r>
      <w:r>
        <w:t>Courses</w:t>
      </w:r>
      <w:r>
        <w:rPr>
          <w:color w:val="000000"/>
        </w:rPr>
        <w:t xml:space="preserve"> </w:t>
      </w:r>
    </w:p>
    <w:p w14:paraId="0C0ED72D" w14:textId="77777777" w:rsidR="009162E2" w:rsidRDefault="00D85BDB">
      <w:pPr>
        <w:tabs>
          <w:tab w:val="center" w:pos="872"/>
          <w:tab w:val="center" w:pos="2437"/>
        </w:tabs>
        <w:spacing w:after="0" w:line="259" w:lineRule="auto"/>
        <w:ind w:left="0" w:right="0" w:firstLine="0"/>
      </w:pPr>
      <w:r>
        <w:rPr>
          <w:rFonts w:ascii="Calibri" w:eastAsia="Calibri" w:hAnsi="Calibri" w:cs="Calibri"/>
          <w:color w:val="000000"/>
        </w:rPr>
        <w:tab/>
      </w:r>
      <w:r>
        <w:rPr>
          <w:rFonts w:ascii="Calibri" w:eastAsia="Calibri" w:hAnsi="Calibri" w:cs="Calibri"/>
          <w:sz w:val="24"/>
        </w:rPr>
        <w:t>2.1</w:t>
      </w:r>
      <w:r>
        <w:rPr>
          <w:sz w:val="24"/>
        </w:rPr>
        <w:t xml:space="preserve"> </w:t>
      </w:r>
      <w:r>
        <w:rPr>
          <w:sz w:val="24"/>
        </w:rPr>
        <w:tab/>
      </w:r>
      <w:r>
        <w:rPr>
          <w:i/>
        </w:rPr>
        <w:t>Approval of Courses</w:t>
      </w:r>
      <w:r>
        <w:t xml:space="preserve"> </w:t>
      </w:r>
    </w:p>
    <w:p w14:paraId="306180E9" w14:textId="77777777" w:rsidR="009162E2" w:rsidRDefault="00D85BDB">
      <w:pPr>
        <w:ind w:left="1450" w:right="44"/>
      </w:pPr>
      <w:r>
        <w:t xml:space="preserve">The identification and staffing of courses to be offered as a part of General </w:t>
      </w:r>
    </w:p>
    <w:p w14:paraId="279B40E4" w14:textId="77777777" w:rsidR="009162E2" w:rsidRDefault="00D85BDB">
      <w:pPr>
        <w:ind w:left="1450" w:right="44"/>
      </w:pPr>
      <w:r>
        <w:t>Education for students taking Honors are decisions made by the Director of the University Honors Program following consultation with the Honors Council</w:t>
      </w:r>
      <w:r>
        <w:t xml:space="preserve">. </w:t>
      </w:r>
      <w:r>
        <w:rPr>
          <w:color w:val="000000"/>
        </w:rPr>
        <w:t xml:space="preserve"> </w:t>
      </w:r>
    </w:p>
    <w:p w14:paraId="0A1520EE" w14:textId="77777777" w:rsidR="009162E2" w:rsidRDefault="00D85BDB">
      <w:pPr>
        <w:spacing w:after="69" w:line="259" w:lineRule="auto"/>
        <w:ind w:left="2183" w:right="0" w:firstLine="0"/>
      </w:pPr>
      <w:r>
        <w:rPr>
          <w:color w:val="000000"/>
        </w:rPr>
        <w:t xml:space="preserve"> </w:t>
      </w:r>
    </w:p>
    <w:p w14:paraId="679D037B" w14:textId="77777777" w:rsidR="009162E2" w:rsidRDefault="00D85BDB">
      <w:pPr>
        <w:tabs>
          <w:tab w:val="center" w:pos="872"/>
          <w:tab w:val="center" w:pos="2844"/>
        </w:tabs>
        <w:spacing w:after="0" w:line="259" w:lineRule="auto"/>
        <w:ind w:left="0" w:right="0" w:firstLine="0"/>
      </w:pPr>
      <w:r>
        <w:rPr>
          <w:rFonts w:ascii="Calibri" w:eastAsia="Calibri" w:hAnsi="Calibri" w:cs="Calibri"/>
          <w:color w:val="000000"/>
        </w:rPr>
        <w:tab/>
      </w:r>
      <w:r>
        <w:rPr>
          <w:rFonts w:ascii="Calibri" w:eastAsia="Calibri" w:hAnsi="Calibri" w:cs="Calibri"/>
          <w:sz w:val="24"/>
        </w:rPr>
        <w:t>2.2</w:t>
      </w:r>
      <w:r>
        <w:rPr>
          <w:sz w:val="24"/>
        </w:rPr>
        <w:t xml:space="preserve"> </w:t>
      </w:r>
      <w:r>
        <w:rPr>
          <w:sz w:val="24"/>
        </w:rPr>
        <w:tab/>
      </w:r>
      <w:r>
        <w:rPr>
          <w:i/>
        </w:rPr>
        <w:t>Definition of Honors Courses</w:t>
      </w:r>
      <w:r>
        <w:t xml:space="preserve"> </w:t>
      </w:r>
    </w:p>
    <w:p w14:paraId="0D9B684B" w14:textId="77777777" w:rsidR="009162E2" w:rsidRDefault="00D85BDB">
      <w:pPr>
        <w:ind w:left="1450" w:right="44"/>
      </w:pPr>
      <w:r>
        <w:t>Honors courses are different from most undergraduate offerings both in content and in the way they are taught. Honors courses include deeper emphasis on theory and/or on addressing complex issues. The assigned read</w:t>
      </w:r>
      <w:r>
        <w:t>ings are normally scholarly works, both books and articles, rather than textbooks. Class time is devoted to discussions designed to give students the opportunity for critical thinking and analysis. The emphasis is on written papers or projects, not standar</w:t>
      </w:r>
      <w:r>
        <w:t>dized testing. Assignments are constructed to accommodate individual student interests and intellectual concerns. Students in the University Honors Program often embark on more challenging and creative assignments, are less dependent upon the assistance of</w:t>
      </w:r>
      <w:r>
        <w:t xml:space="preserve"> their instructors in understanding assigned readings, and to function at a more advanced stage of critical analysis.</w:t>
      </w:r>
      <w:r>
        <w:rPr>
          <w:color w:val="000000"/>
        </w:rPr>
        <w:t xml:space="preserve"> </w:t>
      </w:r>
    </w:p>
    <w:p w14:paraId="1DFCBA39" w14:textId="77777777" w:rsidR="009162E2" w:rsidRDefault="00D85BDB">
      <w:pPr>
        <w:spacing w:after="4" w:line="259" w:lineRule="auto"/>
        <w:ind w:left="0" w:right="0" w:firstLine="0"/>
      </w:pPr>
      <w:r>
        <w:rPr>
          <w:color w:val="000000"/>
        </w:rPr>
        <w:lastRenderedPageBreak/>
        <w:t xml:space="preserve"> </w:t>
      </w:r>
    </w:p>
    <w:p w14:paraId="0380E04C" w14:textId="77777777" w:rsidR="009162E2" w:rsidRDefault="00D85BDB">
      <w:pPr>
        <w:spacing w:after="0" w:line="259" w:lineRule="auto"/>
        <w:ind w:left="0" w:right="0" w:firstLine="0"/>
      </w:pPr>
      <w:r>
        <w:rPr>
          <w:color w:val="000000"/>
        </w:rPr>
        <w:t xml:space="preserve"> </w:t>
      </w:r>
    </w:p>
    <w:p w14:paraId="022970F2" w14:textId="77777777" w:rsidR="009162E2" w:rsidRDefault="00D85BDB">
      <w:pPr>
        <w:pStyle w:val="Heading2"/>
        <w:tabs>
          <w:tab w:val="center" w:pos="2062"/>
        </w:tabs>
        <w:ind w:left="0" w:firstLine="0"/>
      </w:pPr>
      <w:r>
        <w:rPr>
          <w:rFonts w:ascii="Calibri" w:eastAsia="Calibri" w:hAnsi="Calibri" w:cs="Calibri"/>
          <w:b w:val="0"/>
          <w:sz w:val="24"/>
        </w:rPr>
        <w:t>3.</w:t>
      </w:r>
      <w:r>
        <w:rPr>
          <w:b w:val="0"/>
          <w:sz w:val="24"/>
        </w:rPr>
        <w:t xml:space="preserve"> </w:t>
      </w:r>
      <w:r>
        <w:rPr>
          <w:b w:val="0"/>
          <w:sz w:val="24"/>
        </w:rPr>
        <w:tab/>
      </w:r>
      <w:r>
        <w:t>Thesis/Creative Project</w:t>
      </w:r>
      <w:r>
        <w:rPr>
          <w:b w:val="0"/>
        </w:rPr>
        <w:t xml:space="preserve"> </w:t>
      </w:r>
    </w:p>
    <w:p w14:paraId="0ADEA346" w14:textId="77777777" w:rsidR="009162E2" w:rsidRDefault="00D85BDB">
      <w:pPr>
        <w:ind w:left="838" w:right="336"/>
      </w:pPr>
      <w:r>
        <w:t>The thesis/creative project is intended to provide the opportunity for personal intellectual</w:t>
      </w:r>
      <w:r>
        <w:rPr>
          <w:color w:val="000000"/>
        </w:rPr>
        <w:t xml:space="preserve"> </w:t>
      </w:r>
      <w:r>
        <w:t xml:space="preserve">growth. It </w:t>
      </w:r>
      <w:r>
        <w:t>can take the form of original research or creative effort, and it may incorporate study abroad, community-based learning, or an internship component. It can also be a project that is demonstrated, performed, or exhibited. Accordingly, the form that the res</w:t>
      </w:r>
      <w:r>
        <w:t>earch preparation (UHP 496) and writing or demonstration or performance or exhibition (UHP 498) may take will vary with the student. The end product may be a scholarly paper, a performance, or an exhibition. A creative project must be accompanied by a refl</w:t>
      </w:r>
      <w:r>
        <w:t>ective written component that speaks to its formation, artistic and other considerations, as well as lessons learned through the creative process. The Director of the University Honors Program will determine the appropriate format for the thesis/creative p</w:t>
      </w:r>
      <w:r>
        <w:t>roject in consultation with the faculty member supervising the student's work.</w:t>
      </w:r>
      <w:r>
        <w:rPr>
          <w:color w:val="000000"/>
        </w:rPr>
        <w:t xml:space="preserve"> </w:t>
      </w:r>
    </w:p>
    <w:p w14:paraId="1A2A601E" w14:textId="77777777" w:rsidR="009162E2" w:rsidRDefault="00D85BDB">
      <w:pPr>
        <w:spacing w:after="11" w:line="259" w:lineRule="auto"/>
        <w:ind w:left="1578" w:right="0" w:firstLine="0"/>
      </w:pPr>
      <w:r>
        <w:rPr>
          <w:color w:val="000000"/>
        </w:rPr>
        <w:t xml:space="preserve"> </w:t>
      </w:r>
    </w:p>
    <w:p w14:paraId="66B62565" w14:textId="77777777" w:rsidR="009162E2" w:rsidRDefault="00D85BDB">
      <w:pPr>
        <w:spacing w:after="62" w:line="259" w:lineRule="auto"/>
        <w:ind w:left="1578" w:right="0" w:firstLine="0"/>
      </w:pPr>
      <w:r>
        <w:rPr>
          <w:color w:val="000000"/>
        </w:rPr>
        <w:t xml:space="preserve"> </w:t>
      </w:r>
    </w:p>
    <w:p w14:paraId="74C581B9" w14:textId="77777777" w:rsidR="009162E2" w:rsidRDefault="00D85BDB">
      <w:pPr>
        <w:pStyle w:val="Heading2"/>
        <w:tabs>
          <w:tab w:val="center" w:pos="1664"/>
        </w:tabs>
        <w:ind w:left="0" w:firstLine="0"/>
      </w:pPr>
      <w:r>
        <w:rPr>
          <w:rFonts w:ascii="Calibri" w:eastAsia="Calibri" w:hAnsi="Calibri" w:cs="Calibri"/>
          <w:b w:val="0"/>
          <w:sz w:val="24"/>
        </w:rPr>
        <w:t>4.</w:t>
      </w:r>
      <w:r>
        <w:rPr>
          <w:b w:val="0"/>
          <w:sz w:val="24"/>
        </w:rPr>
        <w:t xml:space="preserve"> </w:t>
      </w:r>
      <w:r>
        <w:rPr>
          <w:b w:val="0"/>
          <w:sz w:val="24"/>
        </w:rPr>
        <w:tab/>
      </w:r>
      <w:r>
        <w:t>Honors Council</w:t>
      </w:r>
      <w:r>
        <w:rPr>
          <w:b w:val="0"/>
        </w:rPr>
        <w:t xml:space="preserve"> </w:t>
      </w:r>
    </w:p>
    <w:p w14:paraId="580E7943" w14:textId="77777777" w:rsidR="009162E2" w:rsidRDefault="00D85BDB">
      <w:pPr>
        <w:spacing w:after="35"/>
        <w:ind w:left="838" w:right="44"/>
      </w:pPr>
      <w:r>
        <w:t xml:space="preserve">The University Honors Program shall have an Honors Council composed of: </w:t>
      </w:r>
      <w:r>
        <w:rPr>
          <w:color w:val="000000"/>
        </w:rPr>
        <w:t xml:space="preserve"> </w:t>
      </w:r>
    </w:p>
    <w:p w14:paraId="3E4EDE46" w14:textId="77777777" w:rsidR="009162E2" w:rsidRDefault="00D85BDB">
      <w:pPr>
        <w:numPr>
          <w:ilvl w:val="0"/>
          <w:numId w:val="1"/>
        </w:numPr>
        <w:ind w:right="44" w:hanging="360"/>
      </w:pPr>
      <w:r>
        <w:t>The Director of the University Honors Program (ex officio, voting</w:t>
      </w:r>
      <w:proofErr w:type="gramStart"/>
      <w:r>
        <w:t>);</w:t>
      </w:r>
      <w:proofErr w:type="gramEnd"/>
      <w:r>
        <w:t xml:space="preserve"> </w:t>
      </w:r>
      <w:r>
        <w:rPr>
          <w:color w:val="000000"/>
        </w:rPr>
        <w:t xml:space="preserve"> </w:t>
      </w:r>
    </w:p>
    <w:p w14:paraId="72B20296" w14:textId="77777777" w:rsidR="009162E2" w:rsidRDefault="00D85BDB">
      <w:pPr>
        <w:numPr>
          <w:ilvl w:val="0"/>
          <w:numId w:val="1"/>
        </w:numPr>
        <w:ind w:right="44" w:hanging="360"/>
      </w:pPr>
      <w:r>
        <w:t>The Provost, or designee (ex officio, non-voting</w:t>
      </w:r>
      <w:proofErr w:type="gramStart"/>
      <w:r>
        <w:t>);</w:t>
      </w:r>
      <w:proofErr w:type="gramEnd"/>
      <w:r>
        <w:t xml:space="preserve"> </w:t>
      </w:r>
      <w:r>
        <w:rPr>
          <w:color w:val="000000"/>
        </w:rPr>
        <w:t xml:space="preserve"> </w:t>
      </w:r>
    </w:p>
    <w:p w14:paraId="321A288F" w14:textId="77777777" w:rsidR="009162E2" w:rsidRDefault="00D85BDB">
      <w:pPr>
        <w:numPr>
          <w:ilvl w:val="0"/>
          <w:numId w:val="1"/>
        </w:numPr>
        <w:spacing w:after="31"/>
        <w:ind w:right="44" w:hanging="360"/>
      </w:pPr>
      <w:r>
        <w:t>Up to 17 college representatives, preferably with experience teaching in the program and/or supervising honors thesis/creative projec</w:t>
      </w:r>
      <w:r>
        <w:t xml:space="preserve">ts. Representatives will be elected by the respective college Faculty Councils. They </w:t>
      </w:r>
      <w:proofErr w:type="gramStart"/>
      <w:r>
        <w:t>include:</w:t>
      </w:r>
      <w:proofErr w:type="gramEnd"/>
      <w:r>
        <w:t xml:space="preserve"> </w:t>
      </w:r>
      <w:r>
        <w:rPr>
          <w:color w:val="000000"/>
        </w:rPr>
        <w:t xml:space="preserve"> </w:t>
      </w:r>
      <w:r>
        <w:rPr>
          <w:rFonts w:ascii="Courier New" w:eastAsia="Courier New" w:hAnsi="Courier New" w:cs="Courier New"/>
          <w:color w:val="000000"/>
        </w:rPr>
        <w:t>o</w:t>
      </w:r>
      <w:r>
        <w:rPr>
          <w:color w:val="000000"/>
        </w:rPr>
        <w:t xml:space="preserve"> </w:t>
      </w:r>
      <w:r>
        <w:t>up to four from the College of Liberal Arts;</w:t>
      </w:r>
      <w:r>
        <w:rPr>
          <w:color w:val="000000"/>
        </w:rPr>
        <w:t xml:space="preserve"> </w:t>
      </w:r>
      <w:r>
        <w:rPr>
          <w:rFonts w:ascii="Courier New" w:eastAsia="Courier New" w:hAnsi="Courier New" w:cs="Courier New"/>
          <w:color w:val="000000"/>
        </w:rPr>
        <w:t>o</w:t>
      </w:r>
      <w:r>
        <w:rPr>
          <w:color w:val="000000"/>
        </w:rPr>
        <w:t xml:space="preserve"> </w:t>
      </w:r>
      <w:r>
        <w:t>up to three from the College of Health and Human Services</w:t>
      </w:r>
      <w:r>
        <w:rPr>
          <w:color w:val="000000"/>
        </w:rPr>
        <w:t xml:space="preserve">; </w:t>
      </w:r>
      <w:r>
        <w:rPr>
          <w:rFonts w:ascii="Courier New" w:eastAsia="Courier New" w:hAnsi="Courier New" w:cs="Courier New"/>
          <w:color w:val="000000"/>
        </w:rPr>
        <w:t>o</w:t>
      </w:r>
      <w:r>
        <w:rPr>
          <w:color w:val="000000"/>
        </w:rPr>
        <w:t xml:space="preserve"> </w:t>
      </w:r>
      <w:r>
        <w:t xml:space="preserve">and up to two from each of the other colleges.  </w:t>
      </w:r>
      <w:r>
        <w:rPr>
          <w:color w:val="000000"/>
        </w:rPr>
        <w:t xml:space="preserve"> </w:t>
      </w:r>
    </w:p>
    <w:p w14:paraId="3092B75D" w14:textId="77777777" w:rsidR="009162E2" w:rsidRDefault="00D85BDB">
      <w:pPr>
        <w:numPr>
          <w:ilvl w:val="0"/>
          <w:numId w:val="1"/>
        </w:numPr>
        <w:spacing w:after="32"/>
        <w:ind w:right="44" w:hanging="360"/>
      </w:pPr>
      <w:r>
        <w:t xml:space="preserve">Two </w:t>
      </w:r>
      <w:r>
        <w:rPr>
          <w:color w:val="000000"/>
        </w:rPr>
        <w:t xml:space="preserve">honors </w:t>
      </w:r>
      <w:r>
        <w:t xml:space="preserve">students selected by the Director of the University Honors Program, in consultation with the Honors Associate </w:t>
      </w:r>
      <w:proofErr w:type="gramStart"/>
      <w:r>
        <w:t>Directors;</w:t>
      </w:r>
      <w:proofErr w:type="gramEnd"/>
      <w:r>
        <w:rPr>
          <w:color w:val="000000"/>
        </w:rPr>
        <w:t xml:space="preserve"> </w:t>
      </w:r>
    </w:p>
    <w:p w14:paraId="07913438" w14:textId="77777777" w:rsidR="009162E2" w:rsidRDefault="00D85BDB">
      <w:pPr>
        <w:numPr>
          <w:ilvl w:val="0"/>
          <w:numId w:val="1"/>
        </w:numPr>
        <w:ind w:right="44" w:hanging="360"/>
      </w:pPr>
      <w:r>
        <w:t>Honors Associate Directors (ex officio, voting).</w:t>
      </w:r>
      <w:r>
        <w:rPr>
          <w:color w:val="000000"/>
        </w:rPr>
        <w:t xml:space="preserve"> </w:t>
      </w:r>
    </w:p>
    <w:p w14:paraId="688CFC1E" w14:textId="77777777" w:rsidR="009162E2" w:rsidRDefault="00D85BDB">
      <w:pPr>
        <w:spacing w:after="11" w:line="259" w:lineRule="auto"/>
        <w:ind w:left="843" w:right="0" w:firstLine="0"/>
      </w:pPr>
      <w:r>
        <w:rPr>
          <w:color w:val="000000"/>
        </w:rPr>
        <w:t xml:space="preserve"> </w:t>
      </w:r>
    </w:p>
    <w:p w14:paraId="03B0F873" w14:textId="77777777" w:rsidR="009162E2" w:rsidRDefault="00D85BDB">
      <w:pPr>
        <w:spacing w:after="200"/>
        <w:ind w:left="730" w:right="44"/>
      </w:pPr>
      <w:r>
        <w:t>Terms shall be for tw</w:t>
      </w:r>
      <w:r>
        <w:t xml:space="preserve">o years in the case of faculty and one year in the case of students. Members shall be eligible for re-appointment.  </w:t>
      </w:r>
    </w:p>
    <w:p w14:paraId="3737F652" w14:textId="77777777" w:rsidR="009162E2" w:rsidRDefault="00D85BDB">
      <w:pPr>
        <w:ind w:left="730" w:right="44"/>
      </w:pPr>
      <w:r>
        <w:t>The Honors Council shall conduct a minimum of one meeting each semester and shall conduct review of program admissions and scholarship appl</w:t>
      </w:r>
      <w:r>
        <w:t>ications beyond its primary function as a consulting body for the University Honors Program.</w:t>
      </w:r>
      <w:r>
        <w:rPr>
          <w:color w:val="000000"/>
        </w:rPr>
        <w:t xml:space="preserve"> </w:t>
      </w:r>
    </w:p>
    <w:p w14:paraId="78F17782" w14:textId="77777777" w:rsidR="009162E2" w:rsidRDefault="00D85BDB">
      <w:pPr>
        <w:spacing w:after="264" w:line="259" w:lineRule="auto"/>
        <w:ind w:left="721" w:right="0" w:firstLine="0"/>
      </w:pPr>
      <w:r>
        <w:t xml:space="preserve"> </w:t>
      </w:r>
    </w:p>
    <w:p w14:paraId="6282C09E" w14:textId="77777777" w:rsidR="009162E2" w:rsidRDefault="00D85BDB">
      <w:pPr>
        <w:pStyle w:val="Heading2"/>
        <w:tabs>
          <w:tab w:val="center" w:pos="2422"/>
        </w:tabs>
        <w:ind w:left="0" w:firstLine="0"/>
      </w:pPr>
      <w:r>
        <w:rPr>
          <w:rFonts w:ascii="Calibri" w:eastAsia="Calibri" w:hAnsi="Calibri" w:cs="Calibri"/>
          <w:b w:val="0"/>
          <w:sz w:val="24"/>
        </w:rPr>
        <w:t>5.</w:t>
      </w:r>
      <w:r>
        <w:rPr>
          <w:b w:val="0"/>
          <w:sz w:val="24"/>
        </w:rPr>
        <w:t xml:space="preserve"> </w:t>
      </w:r>
      <w:r>
        <w:rPr>
          <w:b w:val="0"/>
          <w:sz w:val="24"/>
        </w:rPr>
        <w:tab/>
      </w:r>
      <w:r>
        <w:t>Honors in the Major Programs</w:t>
      </w:r>
      <w:r>
        <w:rPr>
          <w:b w:val="0"/>
        </w:rPr>
        <w:t xml:space="preserve"> </w:t>
      </w:r>
    </w:p>
    <w:p w14:paraId="4D245A1E" w14:textId="77777777" w:rsidR="009162E2" w:rsidRDefault="00D85BDB">
      <w:pPr>
        <w:spacing w:after="2" w:line="272" w:lineRule="auto"/>
        <w:ind w:left="838" w:right="264"/>
        <w:jc w:val="both"/>
      </w:pPr>
      <w:r>
        <w:t>Honors in the Major differ from the University Honors Program. Students in University Honors whose major department offers an Honors in the Major Program may apply to participate in both programs, in which case the University Honors Program thesis/creative</w:t>
      </w:r>
      <w:r>
        <w:t xml:space="preserve"> project would be satisfied through the Honors in the Major option. </w:t>
      </w:r>
    </w:p>
    <w:p w14:paraId="06A2203F" w14:textId="77777777" w:rsidR="009162E2" w:rsidRDefault="00D85BDB">
      <w:pPr>
        <w:spacing w:after="0" w:line="259" w:lineRule="auto"/>
        <w:ind w:left="843" w:right="0" w:firstLine="0"/>
      </w:pPr>
      <w:r>
        <w:t xml:space="preserve"> </w:t>
      </w:r>
    </w:p>
    <w:p w14:paraId="14BBC138" w14:textId="77777777" w:rsidR="009162E2" w:rsidRDefault="00D85BDB">
      <w:pPr>
        <w:ind w:left="838" w:right="44"/>
      </w:pPr>
      <w:r>
        <w:lastRenderedPageBreak/>
        <w:t>Course proposals for Honors in the Major and the creation of honors-specific courses other than University Honors must be approved by (1) the Department Curriculum Committee and Departm</w:t>
      </w:r>
      <w:r>
        <w:t xml:space="preserve">ent Chair; (2) the college curriculum committee; and (3) the </w:t>
      </w:r>
    </w:p>
    <w:p w14:paraId="01F03AE5" w14:textId="77777777" w:rsidR="009162E2" w:rsidRDefault="00D85BDB">
      <w:pPr>
        <w:spacing w:after="2" w:line="272" w:lineRule="auto"/>
        <w:ind w:left="838" w:right="264"/>
        <w:jc w:val="both"/>
      </w:pPr>
      <w:r>
        <w:t>Director of the University Honors Program, following consultation with the Honors Council. The management and staffing of the thesis/creative project must be approved by the respective departmen</w:t>
      </w:r>
      <w:r>
        <w:t xml:space="preserve">t chair, as well as by the Director of the University Honors Program for students completing both Honors in the major and the University Honors Program. </w:t>
      </w:r>
    </w:p>
    <w:p w14:paraId="7810037B" w14:textId="77777777" w:rsidR="009162E2" w:rsidRDefault="00D85BDB">
      <w:pPr>
        <w:spacing w:after="9" w:line="259" w:lineRule="auto"/>
        <w:ind w:left="880" w:right="0" w:firstLine="0"/>
      </w:pPr>
      <w:r>
        <w:rPr>
          <w:color w:val="000000"/>
          <w:sz w:val="20"/>
        </w:rPr>
        <w:t xml:space="preserve"> </w:t>
      </w:r>
    </w:p>
    <w:p w14:paraId="196290E8" w14:textId="77777777" w:rsidR="009162E2" w:rsidRDefault="00D85BDB">
      <w:pPr>
        <w:spacing w:after="172" w:line="259" w:lineRule="auto"/>
        <w:ind w:left="0" w:right="0" w:firstLine="0"/>
        <w:jc w:val="right"/>
      </w:pPr>
      <w:r>
        <w:rPr>
          <w:rFonts w:ascii="Calibri" w:eastAsia="Calibri" w:hAnsi="Calibri" w:cs="Calibri"/>
          <w:noProof/>
          <w:color w:val="000000"/>
        </w:rPr>
        <mc:AlternateContent>
          <mc:Choice Requires="wpg">
            <w:drawing>
              <wp:inline distT="0" distB="0" distL="0" distR="0" wp14:anchorId="676A250D" wp14:editId="6E1C614D">
                <wp:extent cx="5943600" cy="9144"/>
                <wp:effectExtent l="0" t="0" r="0" b="0"/>
                <wp:docPr id="1989" name="Group 1989"/>
                <wp:cNvGraphicFramePr/>
                <a:graphic xmlns:a="http://schemas.openxmlformats.org/drawingml/2006/main">
                  <a:graphicData uri="http://schemas.microsoft.com/office/word/2010/wordprocessingGroup">
                    <wpg:wgp>
                      <wpg:cNvGrpSpPr/>
                      <wpg:grpSpPr>
                        <a:xfrm>
                          <a:off x="0" y="0"/>
                          <a:ext cx="5943600" cy="9144"/>
                          <a:chOff x="0" y="0"/>
                          <a:chExt cx="5943600" cy="9144"/>
                        </a:xfrm>
                      </wpg:grpSpPr>
                      <wps:wsp>
                        <wps:cNvPr id="2588" name="Shape 2588"/>
                        <wps:cNvSpPr/>
                        <wps:spPr>
                          <a:xfrm>
                            <a:off x="0" y="4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89" name="Shape 2589"/>
                        <wps:cNvSpPr/>
                        <wps:spPr>
                          <a:xfrm>
                            <a:off x="4572" y="4572"/>
                            <a:ext cx="5934457" cy="9144"/>
                          </a:xfrm>
                          <a:custGeom>
                            <a:avLst/>
                            <a:gdLst/>
                            <a:ahLst/>
                            <a:cxnLst/>
                            <a:rect l="0" t="0" r="0" b="0"/>
                            <a:pathLst>
                              <a:path w="5934457" h="9144">
                                <a:moveTo>
                                  <a:pt x="0" y="0"/>
                                </a:moveTo>
                                <a:lnTo>
                                  <a:pt x="5934457" y="0"/>
                                </a:lnTo>
                                <a:lnTo>
                                  <a:pt x="5934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90" name="Shape 2590"/>
                        <wps:cNvSpPr/>
                        <wps:spPr>
                          <a:xfrm>
                            <a:off x="5939028" y="45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91" name="Shape 2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92" name="Shape 2592"/>
                        <wps:cNvSpPr/>
                        <wps:spPr>
                          <a:xfrm>
                            <a:off x="4572" y="0"/>
                            <a:ext cx="5934457" cy="9144"/>
                          </a:xfrm>
                          <a:custGeom>
                            <a:avLst/>
                            <a:gdLst/>
                            <a:ahLst/>
                            <a:cxnLst/>
                            <a:rect l="0" t="0" r="0" b="0"/>
                            <a:pathLst>
                              <a:path w="5934457" h="9144">
                                <a:moveTo>
                                  <a:pt x="0" y="0"/>
                                </a:moveTo>
                                <a:lnTo>
                                  <a:pt x="5934457" y="0"/>
                                </a:lnTo>
                                <a:lnTo>
                                  <a:pt x="5934457"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2593" name="Shape 2593"/>
                        <wps:cNvSpPr/>
                        <wps:spPr>
                          <a:xfrm>
                            <a:off x="59390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g:wgp>
                  </a:graphicData>
                </a:graphic>
              </wp:inline>
            </w:drawing>
          </mc:Choice>
          <mc:Fallback xmlns:a="http://schemas.openxmlformats.org/drawingml/2006/main">
            <w:pict>
              <v:group id="Group 1989" style="width:468pt;height:0.719971pt;mso-position-horizontal-relative:char;mso-position-vertical-relative:line" coordsize="59436,91">
                <v:shape id="Shape 2594" style="position:absolute;width:91;height:91;left:0;top:45;" coordsize="9144,9144" path="m0,0l9144,0l9144,9144l0,9144l0,0">
                  <v:stroke weight="0pt" endcap="flat" joinstyle="miter" miterlimit="10" on="false" color="#000000" opacity="0"/>
                  <v:fill on="true" color="#a0a0a0"/>
                </v:shape>
                <v:shape id="Shape 2595" style="position:absolute;width:59344;height:91;left:45;top:45;" coordsize="5934457,9144" path="m0,0l5934457,0l5934457,9144l0,9144l0,0">
                  <v:stroke weight="0pt" endcap="flat" joinstyle="miter" miterlimit="10" on="false" color="#000000" opacity="0"/>
                  <v:fill on="true" color="#a0a0a0"/>
                </v:shape>
                <v:shape id="Shape 2596" style="position:absolute;width:91;height:91;left:59390;top:45;" coordsize="9144,9144" path="m0,0l9144,0l9144,9144l0,9144l0,0">
                  <v:stroke weight="0pt" endcap="flat" joinstyle="miter" miterlimit="10" on="false" color="#000000" opacity="0"/>
                  <v:fill on="true" color="#a0a0a0"/>
                </v:shape>
                <v:shape id="Shape 2597" style="position:absolute;width:91;height:91;left:0;top:0;" coordsize="9144,9144" path="m0,0l9144,0l9144,9144l0,9144l0,0">
                  <v:stroke weight="0pt" endcap="flat" joinstyle="miter" miterlimit="10" on="false" color="#000000" opacity="0"/>
                  <v:fill on="true" color="#a0a0a0"/>
                </v:shape>
                <v:shape id="Shape 2598" style="position:absolute;width:59344;height:91;left:45;top:0;" coordsize="5934457,9144" path="m0,0l5934457,0l5934457,9144l0,9144l0,0">
                  <v:stroke weight="0pt" endcap="flat" joinstyle="miter" miterlimit="10" on="false" color="#000000" opacity="0"/>
                  <v:fill on="true" color="#a0a0a0"/>
                </v:shape>
                <v:shape id="Shape 2599" style="position:absolute;width:91;height:91;left:59390;top:0;" coordsize="9144,9144" path="m0,0l9144,0l9144,9144l0,9144l0,0">
                  <v:stroke weight="0pt" endcap="flat" joinstyle="miter" miterlimit="10" on="false" color="#000000" opacity="0"/>
                  <v:fill on="true" color="#a0a0a0"/>
                </v:shape>
              </v:group>
            </w:pict>
          </mc:Fallback>
        </mc:AlternateContent>
      </w:r>
      <w:r>
        <w:rPr>
          <w:color w:val="000000"/>
          <w:sz w:val="18"/>
        </w:rPr>
        <w:t xml:space="preserve"> </w:t>
      </w:r>
    </w:p>
    <w:p w14:paraId="755DCB33" w14:textId="77777777" w:rsidR="009162E2" w:rsidRDefault="00D85BDB">
      <w:pPr>
        <w:spacing w:after="216" w:line="259" w:lineRule="auto"/>
        <w:ind w:left="2" w:right="0" w:firstLine="0"/>
      </w:pPr>
      <w:r>
        <w:rPr>
          <w:b/>
          <w:color w:val="221E1F"/>
          <w:sz w:val="18"/>
        </w:rPr>
        <w:t xml:space="preserve">EFFECTIVE: Immediately </w:t>
      </w:r>
    </w:p>
    <w:p w14:paraId="2A496933" w14:textId="77777777" w:rsidR="009162E2" w:rsidRDefault="00D85BDB">
      <w:pPr>
        <w:spacing w:after="0" w:line="259" w:lineRule="auto"/>
        <w:ind w:left="722" w:right="0" w:firstLine="0"/>
      </w:pPr>
      <w:r>
        <w:rPr>
          <w:color w:val="000000"/>
          <w:sz w:val="20"/>
        </w:rPr>
        <w:t xml:space="preserve"> </w:t>
      </w:r>
    </w:p>
    <w:sectPr w:rsidR="009162E2">
      <w:pgSz w:w="12240" w:h="15840"/>
      <w:pgMar w:top="1486" w:right="1390" w:bottom="1508"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0325A"/>
    <w:multiLevelType w:val="hybridMultilevel"/>
    <w:tmpl w:val="B9E29C16"/>
    <w:lvl w:ilvl="0" w:tplc="70C00462">
      <w:start w:val="1"/>
      <w:numFmt w:val="bullet"/>
      <w:lvlText w:val="•"/>
      <w:lvlJc w:val="left"/>
      <w:pPr>
        <w:ind w:left="1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CEB47C">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342CA8">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E007A7E">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ACE7BC">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1885D06">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446A3E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CAF1F0">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647D68">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2E2"/>
    <w:rsid w:val="009162E2"/>
    <w:rsid w:val="00D85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80DB"/>
  <w15:docId w15:val="{BF16B2F9-FA30-496F-9448-9BB2C5B7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70" w:lineRule="auto"/>
      <w:ind w:left="853" w:right="279" w:hanging="9"/>
    </w:pPr>
    <w:rPr>
      <w:rFonts w:ascii="Arial" w:eastAsia="Arial" w:hAnsi="Arial" w:cs="Arial"/>
      <w:color w:val="212121"/>
    </w:rPr>
  </w:style>
  <w:style w:type="paragraph" w:styleId="Heading1">
    <w:name w:val="heading 1"/>
    <w:next w:val="Normal"/>
    <w:link w:val="Heading1Char"/>
    <w:uiPriority w:val="9"/>
    <w:qFormat/>
    <w:pPr>
      <w:keepNext/>
      <w:keepLines/>
      <w:spacing w:after="0"/>
      <w:ind w:right="58"/>
      <w:jc w:val="center"/>
      <w:outlineLvl w:val="0"/>
    </w:pPr>
    <w:rPr>
      <w:rFonts w:ascii="Arial" w:eastAsia="Arial" w:hAnsi="Arial" w:cs="Arial"/>
      <w:b/>
      <w:color w:val="221E1F"/>
      <w:sz w:val="24"/>
    </w:rPr>
  </w:style>
  <w:style w:type="paragraph" w:styleId="Heading2">
    <w:name w:val="heading 2"/>
    <w:next w:val="Normal"/>
    <w:link w:val="Heading2Char"/>
    <w:uiPriority w:val="9"/>
    <w:unhideWhenUsed/>
    <w:qFormat/>
    <w:pPr>
      <w:keepNext/>
      <w:keepLines/>
      <w:spacing w:after="0"/>
      <w:ind w:left="134" w:hanging="10"/>
      <w:outlineLvl w:val="1"/>
    </w:pPr>
    <w:rPr>
      <w:rFonts w:ascii="Arial" w:eastAsia="Arial" w:hAnsi="Arial" w:cs="Arial"/>
      <w:b/>
      <w:color w:val="2121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212121"/>
      <w:sz w:val="22"/>
    </w:rPr>
  </w:style>
  <w:style w:type="character" w:customStyle="1" w:styleId="Heading1Char">
    <w:name w:val="Heading 1 Char"/>
    <w:link w:val="Heading1"/>
    <w:rPr>
      <w:rFonts w:ascii="Arial" w:eastAsia="Arial" w:hAnsi="Arial" w:cs="Arial"/>
      <w:b/>
      <w:color w:val="221E1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Company>CSULB</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kpoeun</dc:creator>
  <cp:keywords/>
  <cp:lastModifiedBy>Ann Kinsey</cp:lastModifiedBy>
  <cp:revision>2</cp:revision>
  <dcterms:created xsi:type="dcterms:W3CDTF">2022-04-25T23:22:00Z</dcterms:created>
  <dcterms:modified xsi:type="dcterms:W3CDTF">2022-04-25T23:22:00Z</dcterms:modified>
</cp:coreProperties>
</file>