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CAD4" w14:textId="22E356C1" w:rsidR="00313DCD" w:rsidRPr="0017339C" w:rsidRDefault="00512BAD" w:rsidP="1A70C9B7">
      <w:pPr>
        <w:pStyle w:val="Title"/>
        <w:rPr>
          <w:rFonts w:ascii="Stratum2 Medium" w:hAnsi="Stratum2 Medium" w:cs="Arial"/>
          <w:color w:val="auto"/>
          <w:sz w:val="50"/>
          <w:szCs w:val="32"/>
        </w:rPr>
      </w:pPr>
      <w:r w:rsidRPr="0017339C">
        <w:rPr>
          <w:rFonts w:ascii="Stratum2 Medium" w:hAnsi="Stratum2 Medium" w:cs="Arial"/>
          <w:color w:val="auto"/>
          <w:sz w:val="50"/>
          <w:szCs w:val="32"/>
        </w:rPr>
        <w:t>PACE</w:t>
      </w:r>
      <w:r w:rsidR="00097CD7" w:rsidRPr="0017339C">
        <w:rPr>
          <w:rFonts w:ascii="Stratum2 Medium" w:hAnsi="Stratum2 Medium" w:cs="Arial"/>
          <w:color w:val="auto"/>
          <w:sz w:val="50"/>
          <w:szCs w:val="32"/>
        </w:rPr>
        <w:t xml:space="preserve"> </w:t>
      </w:r>
      <w:r w:rsidR="001E7A7B" w:rsidRPr="0017339C">
        <w:rPr>
          <w:rFonts w:ascii="Stratum2 Medium" w:hAnsi="Stratum2 Medium" w:cs="Arial"/>
          <w:color w:val="auto"/>
          <w:sz w:val="50"/>
          <w:szCs w:val="32"/>
        </w:rPr>
        <w:t>PROJECT</w:t>
      </w:r>
      <w:r w:rsidR="004E15AF" w:rsidRPr="0017339C">
        <w:rPr>
          <w:rFonts w:ascii="Stratum2 Medium" w:hAnsi="Stratum2 Medium" w:cs="Arial"/>
          <w:color w:val="auto"/>
          <w:sz w:val="50"/>
          <w:szCs w:val="32"/>
        </w:rPr>
        <w:t xml:space="preserve"> manager INTAKE</w:t>
      </w:r>
      <w:r w:rsidR="00995FB3" w:rsidRPr="0017339C">
        <w:rPr>
          <w:rFonts w:ascii="Stratum2 Medium" w:hAnsi="Stratum2 Medium" w:cs="Arial"/>
          <w:color w:val="auto"/>
          <w:sz w:val="50"/>
          <w:szCs w:val="32"/>
        </w:rPr>
        <w:t xml:space="preserve"> FORM</w:t>
      </w:r>
      <w:r w:rsidR="00313DCD" w:rsidRPr="0017339C">
        <w:rPr>
          <w:rFonts w:ascii="Stratum2 Medium" w:hAnsi="Stratum2 Medium" w:cs="Arial"/>
          <w:color w:val="auto"/>
          <w:sz w:val="50"/>
          <w:szCs w:val="32"/>
        </w:rPr>
        <w:t xml:space="preserve">  </w:t>
      </w:r>
    </w:p>
    <w:p w14:paraId="3613048E" w14:textId="7958076D" w:rsidR="006A69A5" w:rsidRPr="0017339C" w:rsidRDefault="1A70C9B7" w:rsidP="1A70C9B7">
      <w:pPr>
        <w:spacing w:after="0"/>
        <w:rPr>
          <w:rFonts w:ascii="KievitPro-Regular" w:hAnsi="KievitPro-Regular" w:cs="Arial"/>
        </w:rPr>
      </w:pPr>
      <w:r w:rsidRPr="0017339C">
        <w:rPr>
          <w:rFonts w:ascii="KievitPro-Regular" w:hAnsi="KievitPro-Regular" w:cs="Arial"/>
        </w:rPr>
        <w:t>Course Name:</w:t>
      </w:r>
      <w:r w:rsidR="005F121F" w:rsidRPr="0017339C">
        <w:rPr>
          <w:rFonts w:ascii="KievitPro-Regular" w:hAnsi="KievitPro-Regular" w:cs="Arial"/>
        </w:rPr>
        <w:t xml:space="preserve"> </w:t>
      </w:r>
      <w:r w:rsidR="00097CD7" w:rsidRPr="0017339C">
        <w:rPr>
          <w:rFonts w:ascii="KievitPro-Regular" w:hAnsi="KievitPro-Regular"/>
        </w:rPr>
        <w:br/>
      </w:r>
      <w:r w:rsidRPr="0017339C">
        <w:rPr>
          <w:rFonts w:ascii="KievitPro-Regular" w:hAnsi="KievitPro-Regular" w:cs="Arial"/>
        </w:rPr>
        <w:t>Launch Date:</w:t>
      </w:r>
      <w:r w:rsidRPr="0017339C">
        <w:rPr>
          <w:rFonts w:ascii="KievitPro-Regular" w:hAnsi="KievitPro-Regular" w:cs="Arial"/>
          <w:b/>
          <w:bCs/>
        </w:rPr>
        <w:t xml:space="preserve"> </w:t>
      </w:r>
      <w:r w:rsidR="00097CD7" w:rsidRPr="0017339C">
        <w:rPr>
          <w:rFonts w:ascii="KievitPro-Regular" w:hAnsi="KievitPro-Regular"/>
        </w:rPr>
        <w:br/>
      </w:r>
      <w:r w:rsidRPr="0017339C">
        <w:rPr>
          <w:rFonts w:ascii="KievitPro-Regular" w:hAnsi="KievitPro-Regular" w:cs="Arial"/>
        </w:rPr>
        <w:t>Project Lead/SME:</w:t>
      </w:r>
      <w:r w:rsidR="005F121F" w:rsidRPr="0017339C">
        <w:rPr>
          <w:rFonts w:ascii="KievitPro-Regular" w:hAnsi="KievitPro-Regular" w:cs="Arial"/>
        </w:rPr>
        <w:t xml:space="preserve"> </w:t>
      </w:r>
      <w:r w:rsidR="00097CD7" w:rsidRPr="0017339C">
        <w:rPr>
          <w:rFonts w:ascii="KievitPro-Regular" w:hAnsi="KievitPro-Regular"/>
        </w:rPr>
        <w:br/>
      </w:r>
      <w:r w:rsidRPr="0017339C">
        <w:rPr>
          <w:rFonts w:ascii="KievitPro-Regular" w:hAnsi="KievitPro-Regular" w:cs="Arial"/>
        </w:rPr>
        <w:t xml:space="preserve">Instructional Designer: </w:t>
      </w:r>
      <w:r w:rsidR="00097CD7" w:rsidRPr="0017339C">
        <w:rPr>
          <w:rFonts w:ascii="KievitPro-Regular" w:hAnsi="KievitPro-Regular"/>
        </w:rPr>
        <w:br/>
      </w:r>
      <w:r w:rsidRPr="0017339C">
        <w:rPr>
          <w:rFonts w:ascii="KievitPro-Regular" w:hAnsi="KievitPro-Regular" w:cs="Arial"/>
        </w:rPr>
        <w:t>Project Manager:</w:t>
      </w:r>
      <w:r w:rsidR="002527D2" w:rsidRPr="0017339C">
        <w:rPr>
          <w:rFonts w:ascii="KievitPro-Regular" w:hAnsi="KievitPro-Regular" w:cs="Arial"/>
        </w:rPr>
        <w:t xml:space="preserve"> Paula Matano</w:t>
      </w:r>
    </w:p>
    <w:p w14:paraId="4CE40928" w14:textId="77777777" w:rsidR="00723F3A" w:rsidRPr="0017339C" w:rsidRDefault="00723F3A" w:rsidP="1A70C9B7">
      <w:pPr>
        <w:spacing w:before="0"/>
        <w:rPr>
          <w:rFonts w:ascii="KievitPro-Regular" w:hAnsi="KievitPro-Regular" w:cs="Arial"/>
        </w:rPr>
      </w:pPr>
      <w:r w:rsidRPr="0017339C">
        <w:rPr>
          <w:rFonts w:ascii="KievitPro-Regular" w:hAnsi="KievitPro-Regular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6437" wp14:editId="2B6A7B73">
                <wp:simplePos x="0" y="0"/>
                <wp:positionH relativeFrom="column">
                  <wp:posOffset>-16933</wp:posOffset>
                </wp:positionH>
                <wp:positionV relativeFrom="paragraph">
                  <wp:posOffset>95250</wp:posOffset>
                </wp:positionV>
                <wp:extent cx="6926368" cy="53340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368" cy="53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8AEE3" id="Rectangle 3" o:spid="_x0000_s1026" style="position:absolute;margin-left:-1.35pt;margin-top:7.5pt;width:545.4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" fillcolor="#e48312 [3204]" stroked="f" strokeweight="1.25pt"/>
            </w:pict>
          </mc:Fallback>
        </mc:AlternateContent>
      </w:r>
    </w:p>
    <w:tbl>
      <w:tblPr>
        <w:tblStyle w:val="LightGrid-Accent1"/>
        <w:tblW w:w="0" w:type="auto"/>
        <w:tblBorders>
          <w:top w:val="single" w:sz="6" w:space="0" w:color="E48312" w:themeColor="accent1"/>
          <w:left w:val="single" w:sz="6" w:space="0" w:color="E48312" w:themeColor="accent1"/>
          <w:bottom w:val="single" w:sz="6" w:space="0" w:color="E48312" w:themeColor="accent1"/>
          <w:right w:val="single" w:sz="6" w:space="0" w:color="E48312" w:themeColor="accent1"/>
          <w:insideH w:val="single" w:sz="6" w:space="0" w:color="E48312" w:themeColor="accent1"/>
          <w:insideV w:val="single" w:sz="6" w:space="0" w:color="E48312" w:themeColor="accent1"/>
        </w:tblBorders>
        <w:tblLayout w:type="fixed"/>
        <w:tblLook w:val="06A0" w:firstRow="1" w:lastRow="0" w:firstColumn="1" w:lastColumn="0" w:noHBand="1" w:noVBand="1"/>
      </w:tblPr>
      <w:tblGrid>
        <w:gridCol w:w="468"/>
        <w:gridCol w:w="1980"/>
        <w:gridCol w:w="8568"/>
      </w:tblGrid>
      <w:tr w:rsidR="003B3A12" w:rsidRPr="0017339C" w14:paraId="1FEFB0EC" w14:textId="77777777" w:rsidTr="1A70C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12" w:space="0" w:color="E48312" w:themeColor="accent1"/>
            </w:tcBorders>
            <w:vAlign w:val="center"/>
          </w:tcPr>
          <w:p w14:paraId="48C99AAA" w14:textId="7A6C63DD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1</w:t>
            </w:r>
          </w:p>
        </w:tc>
        <w:tc>
          <w:tcPr>
            <w:tcW w:w="1980" w:type="dxa"/>
            <w:tcBorders>
              <w:bottom w:val="single" w:sz="12" w:space="0" w:color="E48312" w:themeColor="accent1"/>
            </w:tcBorders>
            <w:vAlign w:val="center"/>
          </w:tcPr>
          <w:p w14:paraId="700A05D4" w14:textId="61F68142" w:rsidR="006A69A5" w:rsidRPr="0017339C" w:rsidRDefault="1A70C9B7" w:rsidP="1A70C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Client Name</w:t>
            </w:r>
          </w:p>
        </w:tc>
        <w:tc>
          <w:tcPr>
            <w:tcW w:w="8568" w:type="dxa"/>
            <w:tcBorders>
              <w:bottom w:val="single" w:sz="12" w:space="0" w:color="E48312" w:themeColor="accent1"/>
            </w:tcBorders>
            <w:vAlign w:val="center"/>
          </w:tcPr>
          <w:p w14:paraId="1ACAFDED" w14:textId="77777777" w:rsidR="006A69A5" w:rsidRDefault="006A69A5" w:rsidP="003B3A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 w:val="0"/>
                <w:sz w:val="21"/>
                <w:szCs w:val="21"/>
              </w:rPr>
            </w:pPr>
          </w:p>
          <w:p w14:paraId="4B8E7FDF" w14:textId="4DD5B69A" w:rsidR="0017339C" w:rsidRPr="0017339C" w:rsidRDefault="0017339C" w:rsidP="003B3A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B3A12" w:rsidRPr="0017339C" w14:paraId="6CC2A198" w14:textId="77777777" w:rsidTr="1A70C9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0DCD9432" w14:textId="2B4014E4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55C2095E" w14:textId="195448E7" w:rsidR="006A69A5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Purpose of the Course</w:t>
            </w:r>
          </w:p>
          <w:p w14:paraId="791DA4A9" w14:textId="755059D7" w:rsidR="006A69A5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>What do the learners need to be able to do by the time they are finished with this training?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4E08ACEB" w14:textId="77777777" w:rsidR="006A69A5" w:rsidRDefault="006A69A5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D3B2989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CA8A24D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6E6DCC3D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EC89594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240E3B4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0142E9D9" w14:textId="601F0CF4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3B3A12" w:rsidRPr="0017339C" w14:paraId="0D311AEA" w14:textId="77777777" w:rsidTr="1A70C9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7796FB75" w14:textId="546E2F31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77C7A1A1" w14:textId="77777777" w:rsidR="006A69A5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Target Audience</w:t>
            </w:r>
          </w:p>
          <w:p w14:paraId="0FB61392" w14:textId="788F5921" w:rsidR="004509C7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>Who will use this, what do they do, what will they do with this product, what are the prerequisites?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094383CF" w14:textId="77777777" w:rsidR="006A69A5" w:rsidRDefault="006A69A5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4F9F006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8F0F65E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6D4C523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C434F97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71982C8" w14:textId="4B9B9F83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3B3A12" w:rsidRPr="0017339C" w14:paraId="756056E5" w14:textId="77777777" w:rsidTr="1A70C9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77143AEF" w14:textId="0FC1215E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49CADD6" w14:textId="77777777" w:rsidR="006A69A5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Seat Time</w:t>
            </w:r>
          </w:p>
          <w:p w14:paraId="7C50B73D" w14:textId="15568419" w:rsidR="004509C7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How long will it take </w:t>
            </w:r>
            <w:proofErr w:type="gramStart"/>
            <w:r w:rsidRPr="0017339C">
              <w:rPr>
                <w:rFonts w:ascii="KievitPro-Regular" w:hAnsi="KievitPro-Regular" w:cs="Arial"/>
                <w:sz w:val="15"/>
                <w:szCs w:val="15"/>
              </w:rPr>
              <w:t>for learners</w:t>
            </w:r>
            <w:proofErr w:type="gramEnd"/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 to complete this training?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AC68035" w14:textId="77777777" w:rsidR="006A69A5" w:rsidRDefault="006A69A5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3F93001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1D3645C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259674E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F9294B9" w14:textId="35BDEDD2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324EAC" w:rsidRPr="0017339C" w14:paraId="6CDA950A" w14:textId="77777777" w:rsidTr="1A70C9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6EF6501D" w14:textId="7784897E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E6838A4" w14:textId="77777777" w:rsidR="006A69A5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Modality</w:t>
            </w:r>
          </w:p>
          <w:p w14:paraId="2D5BAE6E" w14:textId="1F51AEA4" w:rsidR="00B77458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>Self-paced or instructor-led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CB8EE5D" w14:textId="77777777" w:rsidR="006A69A5" w:rsidRDefault="006A69A5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00423D3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C9C0697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13F84E8" w14:textId="09DF0A55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3B3A12" w:rsidRPr="0017339C" w14:paraId="3D97849F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50E65545" w14:textId="115AC9E5" w:rsidR="006A69A5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6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2F620EC3" w14:textId="2EACE176" w:rsidR="00B77458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 xml:space="preserve">Delivery Format </w:t>
            </w:r>
            <w:r w:rsidRPr="0017339C">
              <w:rPr>
                <w:rFonts w:ascii="KievitPro-Regular" w:hAnsi="KievitPro-Regular" w:cs="Arial"/>
                <w:sz w:val="15"/>
                <w:szCs w:val="15"/>
              </w:rPr>
              <w:t>F2F, online, hybrid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0DA2347E" w14:textId="77777777" w:rsidR="006A69A5" w:rsidRDefault="006A69A5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675DD30E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FDD0862" w14:textId="22C47F8C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2D542B" w:rsidRPr="0017339C" w14:paraId="65F694A1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554372E0" w14:textId="24AFEEE6" w:rsidR="002D542B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7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79AED7E" w14:textId="767E8F47" w:rsidR="002D542B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Existing Content</w:t>
            </w:r>
            <w:r w:rsidRPr="0017339C">
              <w:rPr>
                <w:rFonts w:ascii="KievitPro-Regular" w:hAnsi="KievitPro-Regular" w:cs="Arial"/>
                <w:sz w:val="21"/>
                <w:szCs w:val="21"/>
              </w:rPr>
              <w:t xml:space="preserve"> </w:t>
            </w:r>
            <w:r w:rsidRPr="0017339C">
              <w:rPr>
                <w:rFonts w:ascii="KievitPro-Regular" w:hAnsi="KievitPro-Regular" w:cs="Arial"/>
                <w:sz w:val="15"/>
                <w:szCs w:val="15"/>
              </w:rPr>
              <w:t>What percentage of the content already exists in an immediately deliverable format: Word doc, video, etc.</w:t>
            </w:r>
            <w:proofErr w:type="gramStart"/>
            <w:r w:rsidRPr="0017339C">
              <w:rPr>
                <w:rFonts w:ascii="KievitPro-Regular" w:hAnsi="KievitPro-Regular" w:cs="Arial"/>
                <w:sz w:val="15"/>
                <w:szCs w:val="15"/>
              </w:rPr>
              <w:t>?</w:t>
            </w:r>
            <w:proofErr w:type="gramEnd"/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 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0787EAE3" w14:textId="77777777" w:rsidR="002D542B" w:rsidRDefault="002D542B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1592965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69D9D32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79EAA0DB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A858812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AA44EA2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D95C6C1" w14:textId="0FC1D8BC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455B03" w:rsidRPr="0017339C" w14:paraId="24A0785D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7B60F2F9" w14:textId="498786DB" w:rsidR="00455B03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8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0E542EE2" w14:textId="34435CC1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Course Length</w:t>
            </w:r>
          </w:p>
          <w:p w14:paraId="515624C8" w14:textId="04A34A1A" w:rsidR="00455B03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>How many modules or weeks will this course span?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62D62EAC" w14:textId="77777777" w:rsidR="00455B03" w:rsidRDefault="00455B03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2E9FE54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072AE7BE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0D411271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CA53974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70CDDCE7" w14:textId="44E33F74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DA278D" w:rsidRPr="0017339C" w14:paraId="0EFD6867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5E90BA59" w14:textId="70BCA01E" w:rsidR="00DA278D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7149D8CC" w14:textId="4D0FF4D7" w:rsidR="00DA278D" w:rsidRPr="0017339C" w:rsidRDefault="002527D2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b/>
                <w:szCs w:val="15"/>
              </w:rPr>
              <w:t>Course Cost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7DBB6DDC" w14:textId="77777777" w:rsidR="00DA278D" w:rsidRPr="0017339C" w:rsidRDefault="00DA278D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B05849D" w14:textId="77777777" w:rsidR="002527D2" w:rsidRDefault="002527D2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273D24C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6ADFA255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90EFC9A" w14:textId="70579442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DA278D" w:rsidRPr="0017339C" w14:paraId="7A9A1595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3117178F" w14:textId="252FF23F" w:rsidR="00DA278D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 xml:space="preserve">10  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13E6EA17" w14:textId="77777777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Red Flags</w:t>
            </w:r>
          </w:p>
          <w:p w14:paraId="5DEFA2B6" w14:textId="1CAF1ED8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Politics, issues, risks, important notes, or things to watch out </w:t>
            </w:r>
            <w:proofErr w:type="gramStart"/>
            <w:r w:rsidRPr="0017339C">
              <w:rPr>
                <w:rFonts w:ascii="KievitPro-Regular" w:hAnsi="KievitPro-Regular" w:cs="Arial"/>
                <w:sz w:val="15"/>
                <w:szCs w:val="15"/>
              </w:rPr>
              <w:t>for</w:t>
            </w:r>
            <w:proofErr w:type="gramEnd"/>
            <w:r w:rsidRPr="0017339C">
              <w:rPr>
                <w:rFonts w:ascii="KievitPro-Regular" w:hAnsi="KievitPro-Regular" w:cs="Arial"/>
                <w:sz w:val="15"/>
                <w:szCs w:val="15"/>
              </w:rPr>
              <w:t>.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257A2B78" w14:textId="77777777" w:rsidR="00DA278D" w:rsidRDefault="00DA278D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6E83991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AEA62F8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D42112F" w14:textId="05F53477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DA278D" w:rsidRPr="0017339C" w14:paraId="372BD383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vAlign w:val="center"/>
          </w:tcPr>
          <w:p w14:paraId="6718C405" w14:textId="718198D9" w:rsidR="00DA278D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11</w:t>
            </w:r>
          </w:p>
        </w:tc>
        <w:tc>
          <w:tcPr>
            <w:tcW w:w="1980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5BAC713B" w14:textId="77777777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 xml:space="preserve">Budget </w:t>
            </w:r>
          </w:p>
          <w:p w14:paraId="3C24E7E2" w14:textId="0180D26F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Is there a set amount or a range that </w:t>
            </w:r>
            <w:proofErr w:type="gramStart"/>
            <w:r w:rsidRPr="0017339C">
              <w:rPr>
                <w:rFonts w:ascii="KievitPro-Regular" w:hAnsi="KievitPro-Regular" w:cs="Arial"/>
                <w:sz w:val="15"/>
                <w:szCs w:val="15"/>
              </w:rPr>
              <w:t>is expected</w:t>
            </w:r>
            <w:proofErr w:type="gramEnd"/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 for this to fall in?</w:t>
            </w:r>
          </w:p>
        </w:tc>
        <w:tc>
          <w:tcPr>
            <w:tcW w:w="8568" w:type="dxa"/>
            <w:tcBorders>
              <w:top w:val="single" w:sz="12" w:space="0" w:color="E48312" w:themeColor="accent1"/>
              <w:bottom w:val="single" w:sz="12" w:space="0" w:color="E48312" w:themeColor="accent1"/>
            </w:tcBorders>
            <w:shd w:val="clear" w:color="auto" w:fill="auto"/>
            <w:vAlign w:val="center"/>
          </w:tcPr>
          <w:p w14:paraId="3E6EC234" w14:textId="77777777" w:rsidR="00DA278D" w:rsidRDefault="00DA278D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06E9635F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0DD6720C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6586B72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D73E9F1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6EE08A70" w14:textId="191ECB8F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  <w:tr w:rsidR="00DA278D" w:rsidRPr="0017339C" w14:paraId="7FA391D8" w14:textId="77777777" w:rsidTr="1A70C9B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12" w:space="0" w:color="E48312" w:themeColor="accent1"/>
            </w:tcBorders>
            <w:vAlign w:val="center"/>
          </w:tcPr>
          <w:p w14:paraId="4C20CC32" w14:textId="19AD403B" w:rsidR="00DA278D" w:rsidRPr="0017339C" w:rsidRDefault="1A70C9B7" w:rsidP="1A70C9B7">
            <w:pPr>
              <w:jc w:val="center"/>
              <w:rPr>
                <w:rFonts w:ascii="KievitPro-Regular" w:hAnsi="KievitPro-Regular" w:cs="Arial"/>
                <w:sz w:val="21"/>
                <w:szCs w:val="21"/>
              </w:rPr>
            </w:pPr>
            <w:r w:rsidRPr="0017339C">
              <w:rPr>
                <w:rFonts w:ascii="KievitPro-Regular" w:hAnsi="KievitPro-Regular" w:cs="Arial"/>
                <w:sz w:val="21"/>
                <w:szCs w:val="21"/>
              </w:rPr>
              <w:t>12</w:t>
            </w:r>
          </w:p>
        </w:tc>
        <w:tc>
          <w:tcPr>
            <w:tcW w:w="1980" w:type="dxa"/>
            <w:tcBorders>
              <w:top w:val="single" w:sz="12" w:space="0" w:color="E48312" w:themeColor="accent1"/>
            </w:tcBorders>
            <w:shd w:val="clear" w:color="auto" w:fill="auto"/>
          </w:tcPr>
          <w:p w14:paraId="449AE46D" w14:textId="77777777" w:rsidR="00DA278D" w:rsidRPr="0017339C" w:rsidRDefault="1A70C9B7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b/>
                <w:bCs/>
                <w:sz w:val="21"/>
                <w:szCs w:val="21"/>
              </w:rPr>
              <w:t>Notes</w:t>
            </w:r>
          </w:p>
          <w:p w14:paraId="0539F4FB" w14:textId="363DD04A" w:rsidR="00DA278D" w:rsidRPr="0017339C" w:rsidRDefault="002527D2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  <w:r w:rsidRPr="0017339C">
              <w:rPr>
                <w:rFonts w:ascii="KievitPro-Regular" w:hAnsi="KievitPro-Regular" w:cs="Arial"/>
                <w:sz w:val="15"/>
                <w:szCs w:val="15"/>
              </w:rPr>
              <w:t xml:space="preserve">Location, expected student participation, how many courses, is this a certificate series.  </w:t>
            </w:r>
          </w:p>
          <w:p w14:paraId="1B77EA52" w14:textId="77777777" w:rsidR="00DA278D" w:rsidRPr="0017339C" w:rsidRDefault="00DA278D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</w:p>
          <w:p w14:paraId="62651AE9" w14:textId="77777777" w:rsidR="00DA278D" w:rsidRPr="0017339C" w:rsidRDefault="00DA278D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</w:p>
          <w:p w14:paraId="5BC655A7" w14:textId="77777777" w:rsidR="00DA278D" w:rsidRPr="0017339C" w:rsidRDefault="00DA278D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</w:p>
          <w:p w14:paraId="62D0CEEB" w14:textId="77777777" w:rsidR="00DA278D" w:rsidRPr="0017339C" w:rsidRDefault="00DA278D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</w:p>
          <w:p w14:paraId="2146774D" w14:textId="77777777" w:rsidR="00DA278D" w:rsidRPr="0017339C" w:rsidRDefault="00DA278D" w:rsidP="1A70C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b/>
                <w:bCs/>
                <w:sz w:val="15"/>
                <w:szCs w:val="15"/>
              </w:rPr>
            </w:pPr>
          </w:p>
        </w:tc>
        <w:tc>
          <w:tcPr>
            <w:tcW w:w="8568" w:type="dxa"/>
            <w:tcBorders>
              <w:top w:val="single" w:sz="12" w:space="0" w:color="E48312" w:themeColor="accent1"/>
            </w:tcBorders>
            <w:shd w:val="clear" w:color="auto" w:fill="auto"/>
            <w:vAlign w:val="center"/>
          </w:tcPr>
          <w:p w14:paraId="79C1C391" w14:textId="77777777" w:rsidR="00DA278D" w:rsidRDefault="00DA278D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1253AA0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54AF4065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EE2B8AB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877B67B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17E97E20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3790BABA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4035BC26" w14:textId="77777777" w:rsid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  <w:p w14:paraId="275B9659" w14:textId="46582FFC" w:rsidR="0017339C" w:rsidRPr="0017339C" w:rsidRDefault="0017339C" w:rsidP="003B3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ievitPro-Regular" w:hAnsi="KievitPro-Regular" w:cs="Arial"/>
                <w:sz w:val="21"/>
                <w:szCs w:val="21"/>
              </w:rPr>
            </w:pPr>
          </w:p>
        </w:tc>
      </w:tr>
    </w:tbl>
    <w:p w14:paraId="650BD6D9" w14:textId="76AA9EF9" w:rsidR="00CC4519" w:rsidRPr="0017339C" w:rsidRDefault="00CC4519" w:rsidP="00A13919">
      <w:pPr>
        <w:pStyle w:val="NoSpacing"/>
        <w:rPr>
          <w:rFonts w:ascii="KievitPro-Regular" w:hAnsi="KievitPro-Regular" w:cs="Arial"/>
        </w:rPr>
      </w:pPr>
    </w:p>
    <w:sectPr w:rsidR="00CC4519" w:rsidRPr="0017339C" w:rsidSect="00F56F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7EAE" w14:textId="77777777" w:rsidR="00396180" w:rsidRDefault="00396180" w:rsidP="00F56F8D">
      <w:pPr>
        <w:spacing w:before="0" w:after="0" w:line="240" w:lineRule="auto"/>
      </w:pPr>
      <w:r>
        <w:separator/>
      </w:r>
    </w:p>
  </w:endnote>
  <w:endnote w:type="continuationSeparator" w:id="0">
    <w:p w14:paraId="22319042" w14:textId="77777777" w:rsidR="00396180" w:rsidRDefault="00396180" w:rsidP="00F56F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tratum2 Medium">
    <w:panose1 w:val="020B0506030000020004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12D5" w14:textId="2F17EB69" w:rsidR="00F56F8D" w:rsidRDefault="1A70C9B7">
    <w:pPr>
      <w:pStyle w:val="Footer"/>
    </w:pPr>
    <w:r>
      <w:t>Rev 11/29/2017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D34D" w14:textId="77777777" w:rsidR="00396180" w:rsidRDefault="00396180" w:rsidP="00F56F8D">
      <w:pPr>
        <w:spacing w:before="0" w:after="0" w:line="240" w:lineRule="auto"/>
      </w:pPr>
      <w:r>
        <w:separator/>
      </w:r>
    </w:p>
  </w:footnote>
  <w:footnote w:type="continuationSeparator" w:id="0">
    <w:p w14:paraId="6B8E6B63" w14:textId="77777777" w:rsidR="00396180" w:rsidRDefault="00396180" w:rsidP="00F56F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2E9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74D45"/>
    <w:multiLevelType w:val="hybridMultilevel"/>
    <w:tmpl w:val="3F48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5145"/>
    <w:multiLevelType w:val="hybridMultilevel"/>
    <w:tmpl w:val="D6A048CA"/>
    <w:lvl w:ilvl="0" w:tplc="C90EB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D"/>
    <w:rsid w:val="00003901"/>
    <w:rsid w:val="00057E89"/>
    <w:rsid w:val="00097CD7"/>
    <w:rsid w:val="000A43B7"/>
    <w:rsid w:val="00164FC5"/>
    <w:rsid w:val="0016525B"/>
    <w:rsid w:val="00167CBB"/>
    <w:rsid w:val="0017339C"/>
    <w:rsid w:val="001A4AA3"/>
    <w:rsid w:val="001A5DBC"/>
    <w:rsid w:val="001D5BCD"/>
    <w:rsid w:val="001E7A7B"/>
    <w:rsid w:val="001F1DFF"/>
    <w:rsid w:val="002527D2"/>
    <w:rsid w:val="002A00DC"/>
    <w:rsid w:val="002B39AC"/>
    <w:rsid w:val="002B5ADE"/>
    <w:rsid w:val="002C39E2"/>
    <w:rsid w:val="002C4CF0"/>
    <w:rsid w:val="002D2901"/>
    <w:rsid w:val="002D542B"/>
    <w:rsid w:val="00313DCD"/>
    <w:rsid w:val="00324EAC"/>
    <w:rsid w:val="00357403"/>
    <w:rsid w:val="00357B3A"/>
    <w:rsid w:val="00363781"/>
    <w:rsid w:val="003765E0"/>
    <w:rsid w:val="003940AA"/>
    <w:rsid w:val="00396180"/>
    <w:rsid w:val="003B3A12"/>
    <w:rsid w:val="003C7307"/>
    <w:rsid w:val="004509C7"/>
    <w:rsid w:val="00455B03"/>
    <w:rsid w:val="0049399D"/>
    <w:rsid w:val="004B78F5"/>
    <w:rsid w:val="004C4A3A"/>
    <w:rsid w:val="004E15AF"/>
    <w:rsid w:val="00512BAD"/>
    <w:rsid w:val="00525357"/>
    <w:rsid w:val="005463F5"/>
    <w:rsid w:val="00591398"/>
    <w:rsid w:val="005C691A"/>
    <w:rsid w:val="005F121F"/>
    <w:rsid w:val="005F190C"/>
    <w:rsid w:val="00612D1A"/>
    <w:rsid w:val="00684A8A"/>
    <w:rsid w:val="006A69A5"/>
    <w:rsid w:val="006B0F29"/>
    <w:rsid w:val="006D7E48"/>
    <w:rsid w:val="006F1FF9"/>
    <w:rsid w:val="006F5353"/>
    <w:rsid w:val="007232AF"/>
    <w:rsid w:val="00723F3A"/>
    <w:rsid w:val="00757FFA"/>
    <w:rsid w:val="00784254"/>
    <w:rsid w:val="00786431"/>
    <w:rsid w:val="007A7019"/>
    <w:rsid w:val="007A7DDC"/>
    <w:rsid w:val="007B13BF"/>
    <w:rsid w:val="007B7441"/>
    <w:rsid w:val="007C53D8"/>
    <w:rsid w:val="007F76D5"/>
    <w:rsid w:val="00811D8D"/>
    <w:rsid w:val="00813B7B"/>
    <w:rsid w:val="0081481B"/>
    <w:rsid w:val="00817589"/>
    <w:rsid w:val="00825600"/>
    <w:rsid w:val="00883070"/>
    <w:rsid w:val="00914EF3"/>
    <w:rsid w:val="00952D93"/>
    <w:rsid w:val="009542CF"/>
    <w:rsid w:val="00995FB3"/>
    <w:rsid w:val="009A4266"/>
    <w:rsid w:val="009B2173"/>
    <w:rsid w:val="009B4671"/>
    <w:rsid w:val="009C78E0"/>
    <w:rsid w:val="009F1616"/>
    <w:rsid w:val="00A00002"/>
    <w:rsid w:val="00A13919"/>
    <w:rsid w:val="00A238CD"/>
    <w:rsid w:val="00A24AA1"/>
    <w:rsid w:val="00A47C92"/>
    <w:rsid w:val="00A734DE"/>
    <w:rsid w:val="00A77CBC"/>
    <w:rsid w:val="00AB2785"/>
    <w:rsid w:val="00AB3400"/>
    <w:rsid w:val="00AE5908"/>
    <w:rsid w:val="00B03A3C"/>
    <w:rsid w:val="00B43C9E"/>
    <w:rsid w:val="00B77458"/>
    <w:rsid w:val="00B93F68"/>
    <w:rsid w:val="00BE3266"/>
    <w:rsid w:val="00C07D33"/>
    <w:rsid w:val="00C12501"/>
    <w:rsid w:val="00C33172"/>
    <w:rsid w:val="00C6738F"/>
    <w:rsid w:val="00C76403"/>
    <w:rsid w:val="00C936AE"/>
    <w:rsid w:val="00CA212F"/>
    <w:rsid w:val="00CB3E3F"/>
    <w:rsid w:val="00CC07F1"/>
    <w:rsid w:val="00CC4519"/>
    <w:rsid w:val="00CE6D89"/>
    <w:rsid w:val="00CF5AA2"/>
    <w:rsid w:val="00D6454C"/>
    <w:rsid w:val="00D868E1"/>
    <w:rsid w:val="00DA0386"/>
    <w:rsid w:val="00DA278D"/>
    <w:rsid w:val="00DA43F7"/>
    <w:rsid w:val="00DA7B09"/>
    <w:rsid w:val="00E237D0"/>
    <w:rsid w:val="00E26670"/>
    <w:rsid w:val="00E63E1E"/>
    <w:rsid w:val="00E97FC5"/>
    <w:rsid w:val="00EF35AF"/>
    <w:rsid w:val="00F10B71"/>
    <w:rsid w:val="00F24483"/>
    <w:rsid w:val="00F42186"/>
    <w:rsid w:val="00F56F8D"/>
    <w:rsid w:val="00F738C6"/>
    <w:rsid w:val="1A70C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365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1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51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519"/>
    <w:pPr>
      <w:pBdr>
        <w:top w:val="single" w:sz="6" w:space="2" w:color="E48312" w:themeColor="accent1"/>
        <w:left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519"/>
    <w:pPr>
      <w:pBdr>
        <w:top w:val="dotted" w:sz="6" w:space="2" w:color="E48312" w:themeColor="accent1"/>
        <w:left w:val="dotted" w:sz="6" w:space="2" w:color="E48312" w:themeColor="accent1"/>
      </w:pBdr>
      <w:spacing w:before="300" w:after="0"/>
      <w:outlineLvl w:val="3"/>
    </w:pPr>
    <w:rPr>
      <w:caps/>
      <w:color w:val="AA610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519"/>
    <w:pPr>
      <w:pBdr>
        <w:bottom w:val="single" w:sz="6" w:space="1" w:color="E48312" w:themeColor="accent1"/>
      </w:pBdr>
      <w:spacing w:before="300" w:after="0"/>
      <w:outlineLvl w:val="4"/>
    </w:pPr>
    <w:rPr>
      <w:caps/>
      <w:color w:val="AA610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519"/>
    <w:pPr>
      <w:pBdr>
        <w:bottom w:val="dotted" w:sz="6" w:space="1" w:color="E48312" w:themeColor="accent1"/>
      </w:pBdr>
      <w:spacing w:before="300" w:after="0"/>
      <w:outlineLvl w:val="5"/>
    </w:pPr>
    <w:rPr>
      <w:caps/>
      <w:color w:val="AA610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519"/>
    <w:pPr>
      <w:spacing w:before="300" w:after="0"/>
      <w:outlineLvl w:val="6"/>
    </w:pPr>
    <w:rPr>
      <w:caps/>
      <w:color w:val="AA610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5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5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4519"/>
    <w:pPr>
      <w:spacing w:before="720"/>
    </w:pPr>
    <w:rPr>
      <w:caps/>
      <w:color w:val="E4831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4519"/>
    <w:rPr>
      <w:caps/>
      <w:color w:val="E4831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5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4519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C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C4519"/>
    <w:rPr>
      <w:caps/>
      <w:color w:val="714109" w:themeColor="accent1" w:themeShade="7F"/>
      <w:spacing w:val="15"/>
    </w:rPr>
  </w:style>
  <w:style w:type="character" w:styleId="Hyperlink">
    <w:name w:val="Hyperlink"/>
    <w:rsid w:val="00313D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519"/>
    <w:rPr>
      <w:b/>
      <w:bCs/>
      <w:caps/>
      <w:color w:val="FFFFFF" w:themeColor="background1"/>
      <w:spacing w:val="15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C4519"/>
    <w:rPr>
      <w:caps/>
      <w:spacing w:val="15"/>
      <w:shd w:val="clear" w:color="auto" w:fill="FBE6CD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519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519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519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519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5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51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4519"/>
    <w:rPr>
      <w:b/>
      <w:bCs/>
      <w:color w:val="AA610D" w:themeColor="accent1" w:themeShade="BF"/>
      <w:sz w:val="16"/>
      <w:szCs w:val="16"/>
    </w:rPr>
  </w:style>
  <w:style w:type="character" w:styleId="Strong">
    <w:name w:val="Strong"/>
    <w:uiPriority w:val="22"/>
    <w:qFormat/>
    <w:rsid w:val="00CC4519"/>
    <w:rPr>
      <w:b/>
      <w:bCs/>
    </w:rPr>
  </w:style>
  <w:style w:type="character" w:styleId="Emphasis">
    <w:name w:val="Emphasis"/>
    <w:uiPriority w:val="20"/>
    <w:qFormat/>
    <w:rsid w:val="00CC4519"/>
    <w:rPr>
      <w:caps/>
      <w:color w:val="71410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C451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451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45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451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451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519"/>
    <w:pPr>
      <w:pBdr>
        <w:top w:val="single" w:sz="4" w:space="10" w:color="E48312" w:themeColor="accent1"/>
        <w:left w:val="single" w:sz="4" w:space="10" w:color="E48312" w:themeColor="accent1"/>
      </w:pBdr>
      <w:spacing w:after="0"/>
      <w:ind w:left="1296" w:right="1152"/>
      <w:jc w:val="both"/>
    </w:pPr>
    <w:rPr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519"/>
    <w:rPr>
      <w:i/>
      <w:iCs/>
      <w:color w:val="E48312" w:themeColor="accent1"/>
      <w:sz w:val="20"/>
      <w:szCs w:val="20"/>
    </w:rPr>
  </w:style>
  <w:style w:type="character" w:styleId="SubtleEmphasis">
    <w:name w:val="Subtle Emphasis"/>
    <w:uiPriority w:val="19"/>
    <w:qFormat/>
    <w:rsid w:val="00CC4519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CC4519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CC4519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CC4519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CC451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1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C53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7C53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44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4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4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4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4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6F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8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F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37B96-B86A-4B00-A962-C5ED08F2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Potts,Shay D</dc:creator>
  <cp:lastModifiedBy>Matano, Paula</cp:lastModifiedBy>
  <cp:revision>25</cp:revision>
  <dcterms:created xsi:type="dcterms:W3CDTF">2016-11-29T21:45:00Z</dcterms:created>
  <dcterms:modified xsi:type="dcterms:W3CDTF">2019-06-03T16:17:00Z</dcterms:modified>
</cp:coreProperties>
</file>