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B2" w:rsidRDefault="00DD69B2" w:rsidP="00DD69B2">
      <w:pPr>
        <w:spacing w:before="20" w:line="252" w:lineRule="auto"/>
        <w:ind w:right="380"/>
        <w:rPr>
          <w:b/>
          <w:bCs/>
          <w:color w:val="000000"/>
        </w:rPr>
      </w:pPr>
      <w:r>
        <w:rPr>
          <w:b/>
          <w:bCs/>
          <w:color w:val="000000"/>
        </w:rPr>
        <w:t xml:space="preserve">Undergraduate Research Experiences </w:t>
      </w:r>
    </w:p>
    <w:p w:rsidR="00DD69B2" w:rsidRDefault="00DD69B2" w:rsidP="00DD69B2">
      <w:pPr>
        <w:spacing w:before="20" w:line="252" w:lineRule="auto"/>
        <w:ind w:right="380"/>
        <w:rPr>
          <w:b/>
          <w:bCs/>
          <w:color w:val="000000"/>
        </w:rPr>
      </w:pPr>
      <w:r w:rsidRPr="00FE4F5B">
        <w:rPr>
          <w:b/>
          <w:bCs/>
          <w:color w:val="000000"/>
        </w:rPr>
        <w:t>C</w:t>
      </w:r>
      <w:r>
        <w:rPr>
          <w:b/>
          <w:bCs/>
          <w:color w:val="000000"/>
        </w:rPr>
        <w:t>alifornia State University, Monterey Bay</w:t>
      </w:r>
    </w:p>
    <w:p w:rsidR="00DD69B2" w:rsidRDefault="00DD69B2" w:rsidP="00DD69B2">
      <w:pPr>
        <w:spacing w:before="20" w:line="252" w:lineRule="auto"/>
        <w:ind w:right="380"/>
        <w:rPr>
          <w:color w:val="000000"/>
        </w:rPr>
      </w:pPr>
    </w:p>
    <w:p w:rsidR="00DD69B2" w:rsidRDefault="00DD69B2" w:rsidP="00DD69B2">
      <w:pPr>
        <w:spacing w:before="20" w:line="252" w:lineRule="auto"/>
        <w:ind w:right="380"/>
        <w:rPr>
          <w:sz w:val="24"/>
          <w:szCs w:val="24"/>
        </w:rPr>
      </w:pPr>
      <w:r>
        <w:rPr>
          <w:color w:val="000000"/>
        </w:rPr>
        <w:t xml:space="preserve">The </w:t>
      </w:r>
      <w:r w:rsidRPr="005A725F">
        <w:rPr>
          <w:color w:val="000000"/>
        </w:rPr>
        <w:t>U</w:t>
      </w:r>
      <w:r>
        <w:rPr>
          <w:color w:val="000000"/>
        </w:rPr>
        <w:t>ndergraduate Research Opportunities Center (U</w:t>
      </w:r>
      <w:r w:rsidRPr="005A725F">
        <w:rPr>
          <w:color w:val="000000"/>
        </w:rPr>
        <w:t>ROC</w:t>
      </w:r>
      <w:r>
        <w:rPr>
          <w:color w:val="000000"/>
        </w:rPr>
        <w:t>)</w:t>
      </w:r>
      <w:r w:rsidRPr="005A725F">
        <w:rPr>
          <w:color w:val="000000"/>
        </w:rPr>
        <w:t xml:space="preserve"> a</w:t>
      </w:r>
      <w:r>
        <w:rPr>
          <w:color w:val="000000"/>
        </w:rPr>
        <w:t xml:space="preserve">t California State University, Monterey Bay (CSUMB) engages students of all majors in undergraduate research to build students’ educational ownership, intellectual vibrancy, and scholarly identity. </w:t>
      </w:r>
      <w:r w:rsidRPr="001F501A">
        <w:rPr>
          <w:sz w:val="24"/>
          <w:szCs w:val="24"/>
        </w:rPr>
        <w:t>We achieve this through mentored undergraduate research; rigorous, authentic, and calibrated scholarly activities; and the development of social capital.</w:t>
      </w:r>
    </w:p>
    <w:p w:rsidR="00DD69B2" w:rsidRDefault="00DD69B2" w:rsidP="00DD69B2">
      <w:pPr>
        <w:spacing w:before="20" w:line="252" w:lineRule="auto"/>
        <w:ind w:right="380"/>
        <w:rPr>
          <w:color w:val="000000"/>
        </w:rPr>
      </w:pPr>
    </w:p>
    <w:p w:rsidR="00DD69B2" w:rsidRPr="00146907" w:rsidRDefault="00DD69B2" w:rsidP="00DD69B2">
      <w:pPr>
        <w:pStyle w:val="ListParagraph"/>
        <w:numPr>
          <w:ilvl w:val="0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b/>
          <w:sz w:val="24"/>
          <w:szCs w:val="24"/>
        </w:rPr>
        <w:t>Engaging in Authentic Research</w:t>
      </w:r>
    </w:p>
    <w:p w:rsidR="00DD69B2" w:rsidRDefault="00DD69B2" w:rsidP="00DD69B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120 CSUMB students engage in funded UROC research experiences each year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69B2" w:rsidRPr="00F258D2" w:rsidRDefault="00DD69B2" w:rsidP="00DD69B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258D2">
        <w:rPr>
          <w:sz w:val="24"/>
          <w:szCs w:val="24"/>
        </w:rPr>
        <w:t xml:space="preserve">82% of undergraduate researchers </w:t>
      </w:r>
      <w:r>
        <w:rPr>
          <w:sz w:val="24"/>
          <w:szCs w:val="24"/>
        </w:rPr>
        <w:t>are</w:t>
      </w:r>
      <w:r w:rsidRPr="00F258D2">
        <w:rPr>
          <w:sz w:val="24"/>
          <w:szCs w:val="24"/>
        </w:rPr>
        <w:t xml:space="preserve"> from traditionally underrepresented groups (42%</w:t>
      </w:r>
      <w:r>
        <w:rPr>
          <w:sz w:val="24"/>
          <w:szCs w:val="24"/>
        </w:rPr>
        <w:t xml:space="preserve"> Students of C</w:t>
      </w:r>
      <w:r w:rsidRPr="00F258D2">
        <w:rPr>
          <w:sz w:val="24"/>
          <w:szCs w:val="24"/>
        </w:rPr>
        <w:t>olor, 44% Pell Grant recipients; 41% transfer students)</w:t>
      </w:r>
      <w:r>
        <w:rPr>
          <w:sz w:val="24"/>
          <w:szCs w:val="24"/>
        </w:rPr>
        <w:t>.</w:t>
      </w:r>
    </w:p>
    <w:p w:rsidR="00DD69B2" w:rsidRPr="00455A04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95% of faculty research mentors say that their students demonstrated substantially increased research and professional skills by the end of their research experience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69B2" w:rsidRPr="00455A04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100% of faculty mentors state that undergraduate researche</w:t>
      </w:r>
      <w:r>
        <w:rPr>
          <w:sz w:val="24"/>
          <w:szCs w:val="24"/>
        </w:rPr>
        <w:t>r</w:t>
      </w:r>
      <w:r>
        <w:rPr>
          <w:sz w:val="24"/>
          <w:szCs w:val="24"/>
        </w:rPr>
        <w:t>s demonstrated increased critical thinking skills by the end of the research experience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69B2" w:rsidRPr="00146907" w:rsidRDefault="00DD69B2" w:rsidP="00DD69B2">
      <w:pPr>
        <w:pStyle w:val="ListParagraph"/>
        <w:numPr>
          <w:ilvl w:val="0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Contributing to Research </w:t>
      </w:r>
    </w:p>
    <w:p w:rsidR="00DD69B2" w:rsidRPr="0069470C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800+ students have presented at campus research symposium and national conferences</w:t>
      </w:r>
      <w:r>
        <w:rPr>
          <w:sz w:val="24"/>
          <w:szCs w:val="24"/>
        </w:rPr>
        <w:t>.</w:t>
      </w:r>
    </w:p>
    <w:p w:rsidR="00DD69B2" w:rsidRPr="00F258D2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96% of students feel more confident in their ability to contribute to the body of knowledge in their field after participating in research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69B2" w:rsidRPr="00F258D2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93% of students report being an active and integral part of their research team</w:t>
      </w:r>
      <w:r>
        <w:rPr>
          <w:sz w:val="24"/>
          <w:szCs w:val="24"/>
        </w:rPr>
        <w:t>.</w:t>
      </w:r>
    </w:p>
    <w:p w:rsidR="00DD69B2" w:rsidRPr="0069470C" w:rsidRDefault="00DD69B2" w:rsidP="00DD69B2">
      <w:pPr>
        <w:pStyle w:val="ListParagraph"/>
        <w:numPr>
          <w:ilvl w:val="0"/>
          <w:numId w:val="2"/>
        </w:numPr>
        <w:spacing w:line="252" w:lineRule="auto"/>
        <w:ind w:right="420"/>
        <w:rPr>
          <w:b/>
          <w:i/>
          <w:sz w:val="24"/>
          <w:szCs w:val="24"/>
        </w:rPr>
      </w:pPr>
      <w:r w:rsidRPr="0069470C">
        <w:rPr>
          <w:b/>
          <w:sz w:val="24"/>
          <w:szCs w:val="24"/>
        </w:rPr>
        <w:t xml:space="preserve">Preparing </w:t>
      </w:r>
      <w:r>
        <w:rPr>
          <w:b/>
          <w:sz w:val="24"/>
          <w:szCs w:val="24"/>
        </w:rPr>
        <w:t>S</w:t>
      </w:r>
      <w:r w:rsidRPr="0069470C">
        <w:rPr>
          <w:b/>
          <w:sz w:val="24"/>
          <w:szCs w:val="24"/>
        </w:rPr>
        <w:t xml:space="preserve">tudents for the </w:t>
      </w:r>
      <w:r>
        <w:rPr>
          <w:b/>
          <w:sz w:val="24"/>
          <w:szCs w:val="24"/>
        </w:rPr>
        <w:t>F</w:t>
      </w:r>
      <w:r w:rsidRPr="0069470C">
        <w:rPr>
          <w:b/>
          <w:sz w:val="24"/>
          <w:szCs w:val="24"/>
        </w:rPr>
        <w:t>uture</w:t>
      </w:r>
    </w:p>
    <w:p w:rsidR="00DD69B2" w:rsidRPr="0069470C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93% of students report being more motivated to go to graduate school after participating in research</w:t>
      </w:r>
      <w:r>
        <w:rPr>
          <w:sz w:val="24"/>
          <w:szCs w:val="24"/>
        </w:rPr>
        <w:t>.</w:t>
      </w:r>
    </w:p>
    <w:p w:rsidR="00DD69B2" w:rsidRPr="0069470C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99% of students feel more confident in their ability to work in a professional setting</w:t>
      </w:r>
      <w:r>
        <w:rPr>
          <w:sz w:val="24"/>
          <w:szCs w:val="24"/>
        </w:rPr>
        <w:t>.</w:t>
      </w:r>
    </w:p>
    <w:p w:rsidR="00DD69B2" w:rsidRPr="0069470C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95% of students state that their research experience made them more aware of career opportunities in their discipline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69B2" w:rsidRPr="00F258D2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90% of students made professional contacts in their field through research</w:t>
      </w:r>
      <w:r>
        <w:rPr>
          <w:sz w:val="24"/>
          <w:szCs w:val="24"/>
        </w:rPr>
        <w:t>.</w:t>
      </w:r>
    </w:p>
    <w:p w:rsidR="00DD69B2" w:rsidRPr="00FC408A" w:rsidRDefault="00DD69B2" w:rsidP="00DD69B2">
      <w:pPr>
        <w:pStyle w:val="ListParagraph"/>
        <w:numPr>
          <w:ilvl w:val="0"/>
          <w:numId w:val="2"/>
        </w:numPr>
        <w:spacing w:line="252" w:lineRule="auto"/>
        <w:ind w:right="420"/>
        <w:rPr>
          <w:b/>
          <w:i/>
          <w:sz w:val="24"/>
          <w:szCs w:val="24"/>
        </w:rPr>
      </w:pPr>
      <w:r w:rsidRPr="00FC408A">
        <w:rPr>
          <w:b/>
          <w:sz w:val="24"/>
          <w:szCs w:val="24"/>
        </w:rPr>
        <w:t>Developing Social Capital</w:t>
      </w:r>
    </w:p>
    <w:p w:rsidR="00DD69B2" w:rsidRPr="00F258D2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95% of students have positive and productive relationships with their faculty mentor and research group</w:t>
      </w:r>
      <w:r>
        <w:rPr>
          <w:sz w:val="24"/>
          <w:szCs w:val="24"/>
        </w:rPr>
        <w:t>.</w:t>
      </w:r>
    </w:p>
    <w:p w:rsidR="00DD69B2" w:rsidRPr="00FC408A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93% of students receive socioemotional support in addition to research mentoring from their faculty mentor</w:t>
      </w:r>
      <w:r>
        <w:rPr>
          <w:sz w:val="24"/>
          <w:szCs w:val="24"/>
        </w:rPr>
        <w:t>.</w:t>
      </w:r>
    </w:p>
    <w:p w:rsidR="00DD69B2" w:rsidRPr="00FC408A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t>74% of faculty engaged in culturally relevant mentoring during research experiences</w:t>
      </w:r>
      <w:r>
        <w:rPr>
          <w:sz w:val="24"/>
          <w:szCs w:val="24"/>
        </w:rPr>
        <w:t>.</w:t>
      </w:r>
    </w:p>
    <w:p w:rsidR="00DD69B2" w:rsidRPr="00DD69B2" w:rsidRDefault="00DD69B2" w:rsidP="00DD69B2">
      <w:pPr>
        <w:pStyle w:val="ListParagraph"/>
        <w:numPr>
          <w:ilvl w:val="1"/>
          <w:numId w:val="2"/>
        </w:numPr>
        <w:spacing w:line="252" w:lineRule="auto"/>
        <w:ind w:right="4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Greater socioemotional support and culturally relevant mentoring correlated with significantly high research, academic, and professional gains for students</w:t>
      </w:r>
      <w:r>
        <w:rPr>
          <w:sz w:val="24"/>
          <w:szCs w:val="24"/>
        </w:rPr>
        <w:t>.</w:t>
      </w:r>
    </w:p>
    <w:p w:rsidR="00DD69B2" w:rsidRDefault="00DD69B2" w:rsidP="00DD69B2">
      <w:pPr>
        <w:spacing w:line="252" w:lineRule="auto"/>
        <w:ind w:right="420"/>
        <w:rPr>
          <w:sz w:val="24"/>
          <w:szCs w:val="24"/>
        </w:rPr>
      </w:pPr>
    </w:p>
    <w:p w:rsidR="00DD69B2" w:rsidRPr="00066933" w:rsidRDefault="00DD69B2" w:rsidP="00DD69B2">
      <w:pPr>
        <w:spacing w:line="252" w:lineRule="auto"/>
        <w:ind w:right="420"/>
        <w:rPr>
          <w:b/>
          <w:sz w:val="24"/>
          <w:szCs w:val="24"/>
        </w:rPr>
      </w:pPr>
      <w:r w:rsidRPr="00066933">
        <w:rPr>
          <w:b/>
          <w:sz w:val="24"/>
          <w:szCs w:val="24"/>
        </w:rPr>
        <w:t>Contact Us:</w:t>
      </w:r>
    </w:p>
    <w:p w:rsidR="00C731E8" w:rsidRDefault="00C731E8" w:rsidP="00DD69B2">
      <w:pPr>
        <w:spacing w:line="252" w:lineRule="auto"/>
        <w:ind w:right="420"/>
        <w:rPr>
          <w:sz w:val="24"/>
          <w:szCs w:val="24"/>
        </w:rPr>
      </w:pPr>
    </w:p>
    <w:p w:rsidR="00DD69B2" w:rsidRPr="00C731E8" w:rsidRDefault="00066933" w:rsidP="00C731E8">
      <w:pPr>
        <w:spacing w:line="252" w:lineRule="auto"/>
        <w:ind w:right="42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proofErr w:type="spellStart"/>
      <w:r w:rsidR="00DD69B2">
        <w:rPr>
          <w:sz w:val="24"/>
          <w:szCs w:val="24"/>
        </w:rPr>
        <w:t>Tanimura</w:t>
      </w:r>
      <w:proofErr w:type="spellEnd"/>
      <w:r w:rsidR="00DD69B2">
        <w:rPr>
          <w:sz w:val="24"/>
          <w:szCs w:val="24"/>
        </w:rPr>
        <w:t xml:space="preserve"> and</w:t>
      </w:r>
      <w:r w:rsidR="00C731E8">
        <w:rPr>
          <w:sz w:val="24"/>
          <w:szCs w:val="24"/>
        </w:rPr>
        <w:t xml:space="preserve"> </w:t>
      </w:r>
      <w:proofErr w:type="spellStart"/>
      <w:r w:rsidR="00C731E8">
        <w:rPr>
          <w:sz w:val="24"/>
          <w:szCs w:val="24"/>
        </w:rPr>
        <w:t>Antie</w:t>
      </w:r>
      <w:proofErr w:type="spellEnd"/>
      <w:r w:rsidR="00C731E8">
        <w:rPr>
          <w:sz w:val="24"/>
          <w:szCs w:val="24"/>
        </w:rPr>
        <w:t xml:space="preserve"> Family Memorial Library, </w:t>
      </w:r>
      <w:r w:rsidR="00DD69B2">
        <w:rPr>
          <w:sz w:val="24"/>
          <w:szCs w:val="24"/>
        </w:rPr>
        <w:t>Phone: (</w:t>
      </w:r>
      <w:r w:rsidR="00C731E8">
        <w:rPr>
          <w:sz w:val="24"/>
          <w:szCs w:val="24"/>
        </w:rPr>
        <w:t xml:space="preserve">831) 582-4241, </w:t>
      </w:r>
      <w:r>
        <w:rPr>
          <w:sz w:val="24"/>
          <w:szCs w:val="24"/>
        </w:rPr>
        <w:t>Email: uroc@csumb.edu</w:t>
      </w:r>
      <w:r w:rsidR="00DD69B2" w:rsidRPr="00DD69B2">
        <w:rPr>
          <w:sz w:val="24"/>
          <w:szCs w:val="24"/>
        </w:rPr>
        <w:t xml:space="preserve"> </w:t>
      </w:r>
      <w:bookmarkStart w:id="0" w:name="_GoBack"/>
      <w:bookmarkEnd w:id="0"/>
    </w:p>
    <w:p w:rsidR="00381AAE" w:rsidRDefault="00C731E8"/>
    <w:sectPr w:rsidR="00381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37BD2"/>
    <w:multiLevelType w:val="hybridMultilevel"/>
    <w:tmpl w:val="ED3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30F3"/>
    <w:multiLevelType w:val="hybridMultilevel"/>
    <w:tmpl w:val="F268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B2"/>
    <w:rsid w:val="00066933"/>
    <w:rsid w:val="003B79B5"/>
    <w:rsid w:val="00C3122F"/>
    <w:rsid w:val="00C731E8"/>
    <w:rsid w:val="00D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E4E2"/>
  <w15:chartTrackingRefBased/>
  <w15:docId w15:val="{5BDC740B-257F-4E05-8F74-FFC69BAB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69B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Fematt</dc:creator>
  <cp:keywords/>
  <dc:description/>
  <cp:lastModifiedBy>Veronica Fematt</cp:lastModifiedBy>
  <cp:revision>2</cp:revision>
  <dcterms:created xsi:type="dcterms:W3CDTF">2021-04-28T18:53:00Z</dcterms:created>
  <dcterms:modified xsi:type="dcterms:W3CDTF">2021-04-28T19:07:00Z</dcterms:modified>
</cp:coreProperties>
</file>