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0B6E25BF" w14:textId="48F3D065" w:rsidR="00FB6B09" w:rsidRDefault="00FB6B09" w:rsidP="00FB6B09">
      <w:r>
        <w:t>Date:</w:t>
      </w:r>
      <w:r>
        <w:tab/>
      </w:r>
      <w:r>
        <w:tab/>
      </w:r>
      <w:r w:rsidR="00BB7005">
        <w:t>October 1</w:t>
      </w:r>
      <w:r w:rsidR="00712A59">
        <w:t>9</w:t>
      </w:r>
      <w:r w:rsidR="00864F1D">
        <w:t xml:space="preserve">, </w:t>
      </w:r>
      <w:r>
        <w:t>20</w:t>
      </w:r>
      <w:r w:rsidR="000A0952">
        <w:t>1</w:t>
      </w:r>
      <w:r w:rsidR="00A13E84">
        <w:t>9</w:t>
      </w:r>
    </w:p>
    <w:p w14:paraId="1BAAC98F" w14:textId="77777777" w:rsidR="00B06644" w:rsidRDefault="00B06644" w:rsidP="00FB6B09"/>
    <w:p w14:paraId="02033D22" w14:textId="77777777" w:rsidR="00FB6B09" w:rsidRDefault="00FB6B09" w:rsidP="00FB6B09">
      <w:r>
        <w:t>To:</w:t>
      </w:r>
      <w:r>
        <w:tab/>
      </w:r>
      <w:r>
        <w:tab/>
        <w:t>Members of the Finance and Investment Committee</w:t>
      </w:r>
    </w:p>
    <w:p w14:paraId="11ED1FFF" w14:textId="77777777" w:rsidR="00B471B8" w:rsidRDefault="00FB6B09" w:rsidP="00FB6B09">
      <w:pPr>
        <w:sectPr w:rsidR="00B471B8" w:rsidSect="00B471B8">
          <w:headerReference w:type="default" r:id="rId11"/>
          <w:footerReference w:type="default" r:id="rId12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50F14371" w14:textId="77777777" w:rsidR="00252C56" w:rsidRPr="00490D82" w:rsidRDefault="00B471B8" w:rsidP="00FB6B09">
      <w:r>
        <w:tab/>
      </w:r>
      <w:r>
        <w:tab/>
      </w:r>
      <w:r w:rsidR="00A27DA9" w:rsidRPr="00490D82">
        <w:t>Mr</w:t>
      </w:r>
      <w:r w:rsidR="00FB6B09" w:rsidRPr="00490D82">
        <w:t xml:space="preserve">. </w:t>
      </w:r>
      <w:r w:rsidR="00A27DA9" w:rsidRPr="00490D82">
        <w:t>Scott Apel</w:t>
      </w:r>
      <w:r w:rsidR="00252C56" w:rsidRPr="00490D82">
        <w:t xml:space="preserve"> </w:t>
      </w:r>
    </w:p>
    <w:p w14:paraId="0919A511" w14:textId="42D5A36E" w:rsidR="001D3F1B" w:rsidRPr="00490D82" w:rsidRDefault="00B471B8" w:rsidP="00FB6B09">
      <w:r w:rsidRPr="00490D82">
        <w:tab/>
      </w:r>
      <w:r w:rsidRPr="00490D82">
        <w:tab/>
      </w:r>
      <w:r w:rsidR="00490D82" w:rsidRPr="00490D82">
        <w:t>Dr. Wendy Reibo</w:t>
      </w:r>
      <w:r w:rsidR="00BD2124">
        <w:t>l</w:t>
      </w:r>
      <w:r w:rsidR="00490D82" w:rsidRPr="00490D82">
        <w:t>dt</w:t>
      </w:r>
    </w:p>
    <w:p w14:paraId="37DE2197" w14:textId="120F7D4C" w:rsidR="004D19D7" w:rsidRDefault="00490D82" w:rsidP="00FB6B09">
      <w:r w:rsidRPr="00490D82">
        <w:t xml:space="preserve">Dr. </w:t>
      </w:r>
      <w:r w:rsidR="00A13E84" w:rsidRPr="00490D82">
        <w:t>Praveen Soni</w:t>
      </w:r>
      <w:r w:rsidR="00252C56">
        <w:tab/>
      </w:r>
    </w:p>
    <w:p w14:paraId="5FBB8255" w14:textId="77777777" w:rsidR="00B471B8" w:rsidRDefault="00B471B8" w:rsidP="00FB6B09">
      <w:pPr>
        <w:sectPr w:rsidR="00B471B8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3783E6F9" w14:textId="77777777" w:rsidR="00C34E14" w:rsidRDefault="00C34E14" w:rsidP="00FB6B09"/>
    <w:p w14:paraId="5A40AE1B" w14:textId="77777777" w:rsidR="003B7543" w:rsidRDefault="003B7543" w:rsidP="00FB6B09"/>
    <w:p w14:paraId="7E641EDE" w14:textId="77777777" w:rsidR="00FB6B09" w:rsidRDefault="00FB6B09" w:rsidP="00FB6B09">
      <w:r>
        <w:t>From:</w:t>
      </w:r>
      <w:r>
        <w:tab/>
      </w:r>
      <w:r>
        <w:tab/>
        <w:t>Robert de Wit, Controller</w:t>
      </w:r>
    </w:p>
    <w:p w14:paraId="62011B6A" w14:textId="77777777" w:rsidR="00494C63" w:rsidRDefault="00494C63" w:rsidP="00FB6B09"/>
    <w:p w14:paraId="5F859995" w14:textId="53CDD5FA" w:rsidR="00A2211A" w:rsidRDefault="00A2211A" w:rsidP="00A2211A">
      <w:r>
        <w:t>Subject:</w:t>
      </w:r>
      <w:r>
        <w:tab/>
      </w:r>
      <w:r w:rsidRPr="0046718C">
        <w:t xml:space="preserve">Operating Statement – </w:t>
      </w:r>
      <w:r w:rsidR="00712A59">
        <w:t>September</w:t>
      </w:r>
      <w:r w:rsidR="008D42D8">
        <w:t xml:space="preserve"> </w:t>
      </w:r>
      <w:r>
        <w:t>2</w:t>
      </w:r>
      <w:r w:rsidRPr="0046718C">
        <w:t>0</w:t>
      </w:r>
      <w:r>
        <w:t>1</w:t>
      </w:r>
      <w:r w:rsidR="009559A3">
        <w:t>9</w:t>
      </w:r>
    </w:p>
    <w:p w14:paraId="2361CE6F" w14:textId="77777777" w:rsidR="00A2211A" w:rsidRDefault="00A2211A" w:rsidP="00A2211A"/>
    <w:p w14:paraId="730FFE07" w14:textId="09F88EC7" w:rsidR="005D690D" w:rsidRDefault="00712A59" w:rsidP="00712A59">
      <w:r>
        <w:t xml:space="preserve">September results were below plan primarily due to </w:t>
      </w:r>
      <w:r w:rsidR="005D690D">
        <w:t xml:space="preserve">continued shortfall in the retail dining area where volume is not keeping pace with budget and prior year.  All other business areas ran flat but were unable to recapture a slow start on pre-semester activities.  </w:t>
      </w:r>
    </w:p>
    <w:p w14:paraId="75BC9D16" w14:textId="77777777" w:rsidR="005D690D" w:rsidRDefault="005D690D" w:rsidP="00712A59"/>
    <w:p w14:paraId="51A54A82" w14:textId="1C536B3B" w:rsidR="00DD032B" w:rsidRDefault="00712A59" w:rsidP="00712A59">
      <w:r>
        <w:t>Sales for the month came in at $4,0</w:t>
      </w:r>
      <w:r w:rsidR="005D690D">
        <w:t>08,767</w:t>
      </w:r>
      <w:r>
        <w:t xml:space="preserve"> and $</w:t>
      </w:r>
      <w:r w:rsidR="005D690D">
        <w:t>86,501 (2.1%)</w:t>
      </w:r>
      <w:r w:rsidR="00DD032B">
        <w:t xml:space="preserve"> below plan.  Residential Dining included a onetime Welcome Week billing of $113K that brought their year-to-date sales in line with budget. </w:t>
      </w:r>
    </w:p>
    <w:p w14:paraId="32B7C1B2" w14:textId="77777777" w:rsidR="00C77BA3" w:rsidRDefault="00C77BA3" w:rsidP="00712A59"/>
    <w:p w14:paraId="71A0F996" w14:textId="0EF94DEA" w:rsidR="00712A59" w:rsidRDefault="00712A59" w:rsidP="00712A59">
      <w:r>
        <w:t xml:space="preserve">Cost of Goods </w:t>
      </w:r>
      <w:r w:rsidR="00386C50">
        <w:t xml:space="preserve">were up impacting </w:t>
      </w:r>
      <w:r>
        <w:t xml:space="preserve">margin rates </w:t>
      </w:r>
      <w:r w:rsidR="00386C50">
        <w:t>by 1.4 points against plan.  Year-to-date rates are off by 2.7 points with varying degrees across the board</w:t>
      </w:r>
      <w:r w:rsidR="00B64837">
        <w:t xml:space="preserve">.   </w:t>
      </w:r>
      <w:r>
        <w:t>Operating Expenses came in at $1,</w:t>
      </w:r>
      <w:r w:rsidR="00B64837">
        <w:t xml:space="preserve">621,977 </w:t>
      </w:r>
      <w:r>
        <w:t>and $</w:t>
      </w:r>
      <w:r w:rsidR="00B64837">
        <w:t>39,046</w:t>
      </w:r>
      <w:r>
        <w:t xml:space="preserve"> (</w:t>
      </w:r>
      <w:r w:rsidR="00B64837">
        <w:t>2.5</w:t>
      </w:r>
      <w:r>
        <w:t xml:space="preserve">%) </w:t>
      </w:r>
      <w:r w:rsidR="00B64837">
        <w:t xml:space="preserve">above </w:t>
      </w:r>
      <w:r>
        <w:t xml:space="preserve">budget as labor/benefits </w:t>
      </w:r>
      <w:r w:rsidR="00B64837">
        <w:t xml:space="preserve">continue to increase and be the largest expense.  </w:t>
      </w:r>
      <w:r>
        <w:t xml:space="preserve">Credits &amp; Revenues </w:t>
      </w:r>
      <w:r w:rsidR="00E550F4">
        <w:t xml:space="preserve">came in at $368,424 and $19,745 better than budget.  In addition to the planned Cokes sponsorship September realized the annual $20,000 sponsorship from Red Bull that was previously budgeted and bringing the account in line year-to-date. </w:t>
      </w:r>
    </w:p>
    <w:p w14:paraId="4793E9B3" w14:textId="77777777" w:rsidR="00712A59" w:rsidRDefault="00712A59" w:rsidP="00712A59"/>
    <w:p w14:paraId="39564C79" w14:textId="1DC89D4D" w:rsidR="00787A47" w:rsidRDefault="00712A59" w:rsidP="00712A59">
      <w:r>
        <w:t>As a result of the above, Operating Income came in at $1,</w:t>
      </w:r>
      <w:r w:rsidR="00E550F4">
        <w:t xml:space="preserve">084,302 </w:t>
      </w:r>
      <w:r>
        <w:t>and $</w:t>
      </w:r>
      <w:r w:rsidR="00E550F4">
        <w:t>127,369 (10</w:t>
      </w:r>
      <w:r w:rsidR="00787A47">
        <w:t>6</w:t>
      </w:r>
      <w:r w:rsidR="00E550F4">
        <w:t>.5%) un</w:t>
      </w:r>
      <w:r>
        <w:t xml:space="preserve">favorable to budget. </w:t>
      </w:r>
      <w:r w:rsidR="00E550F4">
        <w:t xml:space="preserve"> </w:t>
      </w:r>
    </w:p>
    <w:p w14:paraId="0908AB9F" w14:textId="77777777" w:rsidR="00787A47" w:rsidRDefault="00787A47" w:rsidP="00712A59"/>
    <w:p w14:paraId="109FD5DD" w14:textId="54A83D2C" w:rsidR="00787A47" w:rsidRDefault="00712A59" w:rsidP="00712A59">
      <w:r>
        <w:t xml:space="preserve">G&amp;A expense came in </w:t>
      </w:r>
      <w:r w:rsidR="00787A47">
        <w:t xml:space="preserve">higher for the month due to timing differences of planned donation </w:t>
      </w:r>
      <w:r w:rsidR="00F305C5">
        <w:t>of $</w:t>
      </w:r>
      <w:r w:rsidR="00787A47">
        <w:t>26</w:t>
      </w:r>
      <w:r w:rsidR="00F305C5">
        <w:t>K</w:t>
      </w:r>
      <w:bookmarkStart w:id="0" w:name="_GoBack"/>
      <w:bookmarkEnd w:id="0"/>
      <w:r w:rsidR="00787A47">
        <w:t xml:space="preserve"> for Beach Investment Group (BIG) Bloomberg Terminal and auditor payments. </w:t>
      </w:r>
    </w:p>
    <w:p w14:paraId="10795BC3" w14:textId="57646E29" w:rsidR="00712A59" w:rsidRDefault="00787A47" w:rsidP="00712A59">
      <w:r>
        <w:t>I</w:t>
      </w:r>
      <w:r w:rsidR="00712A59">
        <w:t>nvestment results were</w:t>
      </w:r>
      <w:r>
        <w:t xml:space="preserve"> up a bit at </w:t>
      </w:r>
      <w:r w:rsidR="00712A59">
        <w:t>$</w:t>
      </w:r>
      <w:r>
        <w:t xml:space="preserve">103,026 </w:t>
      </w:r>
      <w:r w:rsidR="00712A59">
        <w:t>resulting in an overall Net Contribution of $</w:t>
      </w:r>
      <w:r>
        <w:t xml:space="preserve">855,599 for </w:t>
      </w:r>
      <w:r w:rsidR="00712A59">
        <w:t xml:space="preserve">the month. </w:t>
      </w:r>
      <w:r w:rsidR="00712A59" w:rsidRPr="005554B2">
        <w:t>(See Table 1).</w:t>
      </w:r>
    </w:p>
    <w:p w14:paraId="1AC1F240" w14:textId="77777777" w:rsidR="00712A59" w:rsidRDefault="00712A59" w:rsidP="00712A59"/>
    <w:p w14:paraId="1D7753C0" w14:textId="7CDED2BB" w:rsidR="00712A59" w:rsidRDefault="00712A59" w:rsidP="00712A59">
      <w:r>
        <w:t>Capital Expenditures for the month were $</w:t>
      </w:r>
      <w:r w:rsidR="00B94288">
        <w:t xml:space="preserve">79,271 for various awning replacements conducted over the summer and Point of Sale (POS) equipment in support of compliance. </w:t>
      </w:r>
      <w:r>
        <w:t>In combination with the above operating results, this netted a positive cash flow of $</w:t>
      </w:r>
      <w:r w:rsidR="00B94288">
        <w:t xml:space="preserve">866,937 </w:t>
      </w:r>
      <w:r>
        <w:t>for the month</w:t>
      </w:r>
      <w:r w:rsidR="00B94288">
        <w:t xml:space="preserve">.  </w:t>
      </w:r>
      <w:r>
        <w:t xml:space="preserve">   </w:t>
      </w:r>
    </w:p>
    <w:p w14:paraId="05D49FB5" w14:textId="77777777" w:rsidR="00712A59" w:rsidRDefault="00712A59" w:rsidP="00712A59"/>
    <w:p w14:paraId="48FF83A6" w14:textId="77777777" w:rsidR="00712A59" w:rsidRDefault="00712A59" w:rsidP="00712A59">
      <w:r>
        <w:t xml:space="preserve">Table 1 below highlights the September and Year-to-Date Operating Statement summary while table 2 provides the corresponding divisional breakdown. </w:t>
      </w:r>
    </w:p>
    <w:p w14:paraId="0FBD6B84" w14:textId="77777777" w:rsidR="00712A59" w:rsidRDefault="00712A59" w:rsidP="00BB7005"/>
    <w:p w14:paraId="61AB1D81" w14:textId="4513CAB2" w:rsidR="00BB7005" w:rsidRDefault="00712A59" w:rsidP="00BB7005">
      <w:r w:rsidRPr="00712A59">
        <w:drawing>
          <wp:inline distT="0" distB="0" distL="0" distR="0" wp14:anchorId="63162175" wp14:editId="4EBA8D69">
            <wp:extent cx="5872396" cy="39645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00" cy="396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5FFB" w14:textId="77777777" w:rsidR="00BB7005" w:rsidRDefault="00BB7005" w:rsidP="00BB7005">
      <w:r>
        <w:t>Table 1</w:t>
      </w:r>
    </w:p>
    <w:p w14:paraId="3968A8E3" w14:textId="23664F4F" w:rsidR="00BB7005" w:rsidRDefault="00712A59" w:rsidP="00BB7005">
      <w:r w:rsidRPr="00712A59">
        <w:drawing>
          <wp:inline distT="0" distB="0" distL="0" distR="0" wp14:anchorId="1645557A" wp14:editId="6506198E">
            <wp:extent cx="5863438" cy="250791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45" cy="250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CF72" w14:textId="77777777" w:rsidR="00BB7005" w:rsidRDefault="00BB7005" w:rsidP="00BB7005">
      <w:r>
        <w:t>Table 2</w:t>
      </w:r>
    </w:p>
    <w:p w14:paraId="1BDA5774" w14:textId="4C4994A6" w:rsidR="00BB7005" w:rsidRDefault="00BB7005" w:rsidP="00BB7005"/>
    <w:p w14:paraId="3DD88B8E" w14:textId="00B0BFD6" w:rsidR="00BD2124" w:rsidRDefault="00BD2124" w:rsidP="00BB7005"/>
    <w:p w14:paraId="17BC19C0" w14:textId="77777777" w:rsidR="00BD2124" w:rsidRDefault="00BD2124" w:rsidP="00BB7005"/>
    <w:p w14:paraId="2259CD8A" w14:textId="4ACBEF86" w:rsidR="00BB7005" w:rsidRDefault="00BB7005" w:rsidP="00BB7005">
      <w:r>
        <w:t xml:space="preserve">Table 3 </w:t>
      </w:r>
      <w:r w:rsidR="002E7045">
        <w:t xml:space="preserve">and 4 </w:t>
      </w:r>
      <w:r>
        <w:t xml:space="preserve">below provides a </w:t>
      </w:r>
      <w:r w:rsidR="002E7045">
        <w:t xml:space="preserve">similar </w:t>
      </w:r>
      <w:r>
        <w:t xml:space="preserve">comparison with prior year </w:t>
      </w:r>
      <w:r w:rsidR="002E7045">
        <w:t xml:space="preserve">in summary and divisional format. Both </w:t>
      </w:r>
      <w:r>
        <w:t>reveal</w:t>
      </w:r>
      <w:r w:rsidR="002E7045">
        <w:t xml:space="preserve"> current year trailing across the board with investment results a key component so far. </w:t>
      </w:r>
      <w:r w:rsidR="00CA5726">
        <w:t xml:space="preserve"> </w:t>
      </w:r>
      <w:r>
        <w:t xml:space="preserve"> </w:t>
      </w:r>
    </w:p>
    <w:p w14:paraId="6A2EFD26" w14:textId="77777777" w:rsidR="00BB7005" w:rsidRDefault="00BB7005" w:rsidP="00BB7005"/>
    <w:p w14:paraId="27B288BA" w14:textId="66838E91" w:rsidR="00BB7005" w:rsidRDefault="00712A59" w:rsidP="00BB7005">
      <w:r w:rsidRPr="00712A59">
        <w:drawing>
          <wp:inline distT="0" distB="0" distL="0" distR="0" wp14:anchorId="52A79F1D" wp14:editId="425EA181">
            <wp:extent cx="6183486" cy="193512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65" cy="194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0CF5" w14:textId="77777777" w:rsidR="00BB7005" w:rsidRDefault="00BB7005" w:rsidP="00BB7005">
      <w:r>
        <w:t>Table 3</w:t>
      </w:r>
    </w:p>
    <w:p w14:paraId="010AB228" w14:textId="022A8A6E" w:rsidR="00BB7005" w:rsidRDefault="00BB7005" w:rsidP="00521599"/>
    <w:p w14:paraId="350D40E1" w14:textId="11254F81" w:rsidR="00BB7005" w:rsidRDefault="00712A59" w:rsidP="00521599">
      <w:r w:rsidRPr="00712A59">
        <w:drawing>
          <wp:inline distT="0" distB="0" distL="0" distR="0" wp14:anchorId="2F88AABA" wp14:editId="525B7CDD">
            <wp:extent cx="6514892" cy="1552353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13" cy="155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199B" w14:textId="1EE10C52" w:rsidR="00B94288" w:rsidRDefault="00B94288" w:rsidP="00B94288">
      <w:r>
        <w:t xml:space="preserve">Table </w:t>
      </w:r>
      <w:r w:rsidR="002E7045">
        <w:t>4</w:t>
      </w:r>
    </w:p>
    <w:p w14:paraId="1700139B" w14:textId="77777777" w:rsidR="00B94288" w:rsidRDefault="00B94288" w:rsidP="00521599"/>
    <w:sectPr w:rsidR="00B94288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E954" w14:textId="3C20376C" w:rsidR="00611129" w:rsidRDefault="0061112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05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8655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2DF88" wp14:editId="43B626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056C282D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14DE9CA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450EC100" w14:textId="77777777" w:rsidR="00611129" w:rsidRDefault="00611129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DB3"/>
    <w:rsid w:val="000040A3"/>
    <w:rsid w:val="00004C45"/>
    <w:rsid w:val="00005A39"/>
    <w:rsid w:val="00010B5F"/>
    <w:rsid w:val="00010BC3"/>
    <w:rsid w:val="00010F28"/>
    <w:rsid w:val="00011207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B3D"/>
    <w:rsid w:val="00051C02"/>
    <w:rsid w:val="00052880"/>
    <w:rsid w:val="00052F1B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C53"/>
    <w:rsid w:val="000703CB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2EC6"/>
    <w:rsid w:val="000933BA"/>
    <w:rsid w:val="00093D06"/>
    <w:rsid w:val="0009580E"/>
    <w:rsid w:val="0009592C"/>
    <w:rsid w:val="000959E1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365E"/>
    <w:rsid w:val="000E3CBE"/>
    <w:rsid w:val="000E4037"/>
    <w:rsid w:val="000E4A01"/>
    <w:rsid w:val="000E5296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907E4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5CC"/>
    <w:rsid w:val="00225ED2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33B"/>
    <w:rsid w:val="002969B8"/>
    <w:rsid w:val="00297B31"/>
    <w:rsid w:val="002A028E"/>
    <w:rsid w:val="002A16B8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6381"/>
    <w:rsid w:val="002F65CA"/>
    <w:rsid w:val="002F7405"/>
    <w:rsid w:val="002F7C4A"/>
    <w:rsid w:val="002F7C63"/>
    <w:rsid w:val="00301BB3"/>
    <w:rsid w:val="003027F9"/>
    <w:rsid w:val="00302985"/>
    <w:rsid w:val="00302DBB"/>
    <w:rsid w:val="00302F3E"/>
    <w:rsid w:val="00302F88"/>
    <w:rsid w:val="003031C3"/>
    <w:rsid w:val="00304477"/>
    <w:rsid w:val="00304FA0"/>
    <w:rsid w:val="003058E0"/>
    <w:rsid w:val="00305F6A"/>
    <w:rsid w:val="00306103"/>
    <w:rsid w:val="003067ED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5FB4"/>
    <w:rsid w:val="0031792C"/>
    <w:rsid w:val="003205C3"/>
    <w:rsid w:val="00320789"/>
    <w:rsid w:val="003208CF"/>
    <w:rsid w:val="00320FBE"/>
    <w:rsid w:val="0032100B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B91"/>
    <w:rsid w:val="003814AF"/>
    <w:rsid w:val="00381D82"/>
    <w:rsid w:val="00383098"/>
    <w:rsid w:val="00383750"/>
    <w:rsid w:val="00383D78"/>
    <w:rsid w:val="0038580B"/>
    <w:rsid w:val="00386C50"/>
    <w:rsid w:val="00386F6D"/>
    <w:rsid w:val="003901B7"/>
    <w:rsid w:val="00390397"/>
    <w:rsid w:val="00390E56"/>
    <w:rsid w:val="0039122B"/>
    <w:rsid w:val="00391AF8"/>
    <w:rsid w:val="00391FD0"/>
    <w:rsid w:val="00392015"/>
    <w:rsid w:val="0039473D"/>
    <w:rsid w:val="0039478C"/>
    <w:rsid w:val="00395CB1"/>
    <w:rsid w:val="003975DE"/>
    <w:rsid w:val="003A1227"/>
    <w:rsid w:val="003A1C5A"/>
    <w:rsid w:val="003A2112"/>
    <w:rsid w:val="003A257B"/>
    <w:rsid w:val="003A40AB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E0C"/>
    <w:rsid w:val="003E4178"/>
    <w:rsid w:val="003E6435"/>
    <w:rsid w:val="003E654F"/>
    <w:rsid w:val="003E6970"/>
    <w:rsid w:val="003E703D"/>
    <w:rsid w:val="003F0270"/>
    <w:rsid w:val="003F0408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2F9"/>
    <w:rsid w:val="004E05A2"/>
    <w:rsid w:val="004E0E6F"/>
    <w:rsid w:val="004E159D"/>
    <w:rsid w:val="004E1681"/>
    <w:rsid w:val="004E195C"/>
    <w:rsid w:val="004E1C8E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D5B"/>
    <w:rsid w:val="00557DA3"/>
    <w:rsid w:val="005613A4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59DB"/>
    <w:rsid w:val="00595A03"/>
    <w:rsid w:val="00596C33"/>
    <w:rsid w:val="005977C9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1B12"/>
    <w:rsid w:val="005C2935"/>
    <w:rsid w:val="005C2DB3"/>
    <w:rsid w:val="005C30AD"/>
    <w:rsid w:val="005C40CC"/>
    <w:rsid w:val="005C5C27"/>
    <w:rsid w:val="005C5DDE"/>
    <w:rsid w:val="005C7EAC"/>
    <w:rsid w:val="005D02EC"/>
    <w:rsid w:val="005D1C32"/>
    <w:rsid w:val="005D296A"/>
    <w:rsid w:val="005D5200"/>
    <w:rsid w:val="005D6532"/>
    <w:rsid w:val="005D6540"/>
    <w:rsid w:val="005D690D"/>
    <w:rsid w:val="005D7541"/>
    <w:rsid w:val="005D77F0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53C6"/>
    <w:rsid w:val="006177EA"/>
    <w:rsid w:val="00617D13"/>
    <w:rsid w:val="00620EB2"/>
    <w:rsid w:val="006214DB"/>
    <w:rsid w:val="00621E10"/>
    <w:rsid w:val="006221F4"/>
    <w:rsid w:val="00622B70"/>
    <w:rsid w:val="00622EED"/>
    <w:rsid w:val="00623224"/>
    <w:rsid w:val="006233DA"/>
    <w:rsid w:val="00625992"/>
    <w:rsid w:val="00625E20"/>
    <w:rsid w:val="00626B6C"/>
    <w:rsid w:val="006278E3"/>
    <w:rsid w:val="00627ACC"/>
    <w:rsid w:val="00630E73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309E"/>
    <w:rsid w:val="006433B2"/>
    <w:rsid w:val="00643C48"/>
    <w:rsid w:val="00644DE1"/>
    <w:rsid w:val="006472AB"/>
    <w:rsid w:val="0065075A"/>
    <w:rsid w:val="00650B6A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5DA"/>
    <w:rsid w:val="007028EA"/>
    <w:rsid w:val="007035A1"/>
    <w:rsid w:val="007036E7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81534"/>
    <w:rsid w:val="007822EB"/>
    <w:rsid w:val="00782B71"/>
    <w:rsid w:val="00787A47"/>
    <w:rsid w:val="00791057"/>
    <w:rsid w:val="00791284"/>
    <w:rsid w:val="00793138"/>
    <w:rsid w:val="007932A9"/>
    <w:rsid w:val="00793B1B"/>
    <w:rsid w:val="00795E26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805"/>
    <w:rsid w:val="007E1CDC"/>
    <w:rsid w:val="007E2842"/>
    <w:rsid w:val="007E28BF"/>
    <w:rsid w:val="007E30BE"/>
    <w:rsid w:val="007E3952"/>
    <w:rsid w:val="007E44FA"/>
    <w:rsid w:val="007E751F"/>
    <w:rsid w:val="007E7734"/>
    <w:rsid w:val="007F0BD5"/>
    <w:rsid w:val="007F0F68"/>
    <w:rsid w:val="007F18C8"/>
    <w:rsid w:val="007F2F18"/>
    <w:rsid w:val="007F30DA"/>
    <w:rsid w:val="007F4796"/>
    <w:rsid w:val="007F6660"/>
    <w:rsid w:val="007F6847"/>
    <w:rsid w:val="007F68C9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EA7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D11"/>
    <w:rsid w:val="008D42D8"/>
    <w:rsid w:val="008D4841"/>
    <w:rsid w:val="008D5351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F0182"/>
    <w:rsid w:val="008F03C4"/>
    <w:rsid w:val="008F192A"/>
    <w:rsid w:val="008F26D2"/>
    <w:rsid w:val="008F34AE"/>
    <w:rsid w:val="008F3844"/>
    <w:rsid w:val="008F3F1A"/>
    <w:rsid w:val="008F4657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BB5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310C"/>
    <w:rsid w:val="009B36E2"/>
    <w:rsid w:val="009B4452"/>
    <w:rsid w:val="009B45BC"/>
    <w:rsid w:val="009B5AE4"/>
    <w:rsid w:val="009B6FA1"/>
    <w:rsid w:val="009B7BD7"/>
    <w:rsid w:val="009B7C6F"/>
    <w:rsid w:val="009C2ED1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4598"/>
    <w:rsid w:val="00A4493D"/>
    <w:rsid w:val="00A44C67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1153A"/>
    <w:rsid w:val="00B118BA"/>
    <w:rsid w:val="00B148BC"/>
    <w:rsid w:val="00B160E9"/>
    <w:rsid w:val="00B16E88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7C5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4114"/>
    <w:rsid w:val="00BC4E02"/>
    <w:rsid w:val="00BC4E7A"/>
    <w:rsid w:val="00BC525B"/>
    <w:rsid w:val="00BC5518"/>
    <w:rsid w:val="00BC60E0"/>
    <w:rsid w:val="00BD2124"/>
    <w:rsid w:val="00BD216B"/>
    <w:rsid w:val="00BD2E2F"/>
    <w:rsid w:val="00BD33C4"/>
    <w:rsid w:val="00BD3423"/>
    <w:rsid w:val="00BD3C1D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462A"/>
    <w:rsid w:val="00BE5819"/>
    <w:rsid w:val="00BE5B97"/>
    <w:rsid w:val="00BE6517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3C53"/>
    <w:rsid w:val="00C641A2"/>
    <w:rsid w:val="00C64376"/>
    <w:rsid w:val="00C64A9A"/>
    <w:rsid w:val="00C659C1"/>
    <w:rsid w:val="00C66B3F"/>
    <w:rsid w:val="00C66E3F"/>
    <w:rsid w:val="00C67532"/>
    <w:rsid w:val="00C67B1C"/>
    <w:rsid w:val="00C70264"/>
    <w:rsid w:val="00C7056A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3DF"/>
    <w:rsid w:val="00C85F84"/>
    <w:rsid w:val="00C865A7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68F"/>
    <w:rsid w:val="00CD1D55"/>
    <w:rsid w:val="00CD1EC4"/>
    <w:rsid w:val="00CD1F66"/>
    <w:rsid w:val="00CD34D3"/>
    <w:rsid w:val="00CE069B"/>
    <w:rsid w:val="00CE12B0"/>
    <w:rsid w:val="00CE2755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1A52"/>
    <w:rsid w:val="00D71B1D"/>
    <w:rsid w:val="00D71B77"/>
    <w:rsid w:val="00D7259D"/>
    <w:rsid w:val="00D72A5B"/>
    <w:rsid w:val="00D73543"/>
    <w:rsid w:val="00D73628"/>
    <w:rsid w:val="00D746FF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6767"/>
    <w:rsid w:val="00DB7953"/>
    <w:rsid w:val="00DC0678"/>
    <w:rsid w:val="00DC19F6"/>
    <w:rsid w:val="00DC1F4F"/>
    <w:rsid w:val="00DC3425"/>
    <w:rsid w:val="00DC6A9D"/>
    <w:rsid w:val="00DD032B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4F0A"/>
    <w:rsid w:val="00E253B4"/>
    <w:rsid w:val="00E25824"/>
    <w:rsid w:val="00E25B8E"/>
    <w:rsid w:val="00E25D7A"/>
    <w:rsid w:val="00E26705"/>
    <w:rsid w:val="00E27F32"/>
    <w:rsid w:val="00E30166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4F2D"/>
    <w:rsid w:val="00E65C08"/>
    <w:rsid w:val="00E6673B"/>
    <w:rsid w:val="00E6712C"/>
    <w:rsid w:val="00E67B73"/>
    <w:rsid w:val="00E711DD"/>
    <w:rsid w:val="00E726F6"/>
    <w:rsid w:val="00E74AD7"/>
    <w:rsid w:val="00E7530A"/>
    <w:rsid w:val="00E75DD9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C53"/>
    <w:rsid w:val="00E93F9D"/>
    <w:rsid w:val="00E94207"/>
    <w:rsid w:val="00E94865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645B"/>
    <w:rsid w:val="00F17CFF"/>
    <w:rsid w:val="00F2099E"/>
    <w:rsid w:val="00F21C7A"/>
    <w:rsid w:val="00F221D1"/>
    <w:rsid w:val="00F22A05"/>
    <w:rsid w:val="00F22AA1"/>
    <w:rsid w:val="00F22C1D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61AF"/>
    <w:rsid w:val="00F575D8"/>
    <w:rsid w:val="00F60024"/>
    <w:rsid w:val="00F60CF1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21A6"/>
    <w:rsid w:val="00F923C7"/>
    <w:rsid w:val="00F92C64"/>
    <w:rsid w:val="00F93277"/>
    <w:rsid w:val="00F93591"/>
    <w:rsid w:val="00F93F96"/>
    <w:rsid w:val="00F94258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122F"/>
    <w:rsid w:val="00FD16F9"/>
    <w:rsid w:val="00FD21D7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05557802-9e22-4343-89e6-23a870bb8b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D916C1-AEB8-4D57-8699-24C64F25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351</Words>
  <Characters>1989</Characters>
  <Application>Microsoft Office Word</Application>
  <DocSecurity>0</DocSecurity>
  <Lines>86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4</cp:revision>
  <cp:lastPrinted>2019-10-19T19:41:00Z</cp:lastPrinted>
  <dcterms:created xsi:type="dcterms:W3CDTF">2019-10-19T18:44:00Z</dcterms:created>
  <dcterms:modified xsi:type="dcterms:W3CDTF">2019-10-19T20:23:00Z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