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>
      <w:bookmarkStart w:id="0" w:name="_GoBack"/>
      <w:bookmarkEnd w:id="0"/>
    </w:p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20EFCF83" w:rsidR="00FB6B09" w:rsidRDefault="00FB6B09" w:rsidP="00FB6B09">
      <w:r>
        <w:t>Date:</w:t>
      </w:r>
      <w:r>
        <w:tab/>
      </w:r>
      <w:r>
        <w:tab/>
      </w:r>
      <w:r w:rsidR="000E29DB">
        <w:t xml:space="preserve">June </w:t>
      </w:r>
      <w:r w:rsidR="006E7BFD">
        <w:t>1</w:t>
      </w:r>
      <w:r w:rsidR="000E29DB">
        <w:t>7</w:t>
      </w:r>
      <w:r w:rsidR="00864F1D">
        <w:t xml:space="preserve">, </w:t>
      </w:r>
      <w:r>
        <w:t>20</w:t>
      </w:r>
      <w:r w:rsidR="002F5F37">
        <w:t>20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6461F044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0E29DB">
        <w:t>May</w:t>
      </w:r>
      <w:r w:rsidR="008D42D8">
        <w:t xml:space="preserve"> </w:t>
      </w:r>
      <w:r>
        <w:t>2</w:t>
      </w:r>
      <w:r w:rsidRPr="0046718C">
        <w:t>0</w:t>
      </w:r>
      <w:r w:rsidR="00504A8E">
        <w:t>20</w:t>
      </w:r>
    </w:p>
    <w:p w14:paraId="2361CE6F" w14:textId="77777777" w:rsidR="00A2211A" w:rsidRDefault="00A2211A" w:rsidP="00A2211A"/>
    <w:p w14:paraId="1BAA825E" w14:textId="77777777" w:rsidR="000E29DB" w:rsidRDefault="000E29DB" w:rsidP="005573C1"/>
    <w:p w14:paraId="71CBF43E" w14:textId="77777777" w:rsidR="000E29DB" w:rsidRDefault="000E29DB" w:rsidP="005573C1">
      <w:r>
        <w:t>May</w:t>
      </w:r>
      <w:r w:rsidR="005573C1">
        <w:t xml:space="preserve"> </w:t>
      </w:r>
      <w:r w:rsidR="004E1DC5">
        <w:t xml:space="preserve">operating </w:t>
      </w:r>
      <w:r w:rsidR="005573C1">
        <w:t xml:space="preserve">results </w:t>
      </w:r>
      <w:r w:rsidR="00A33298">
        <w:t xml:space="preserve">came in </w:t>
      </w:r>
      <w:r>
        <w:t xml:space="preserve">well </w:t>
      </w:r>
      <w:r w:rsidR="00A33298">
        <w:t xml:space="preserve">below plan </w:t>
      </w:r>
      <w:r>
        <w:t xml:space="preserve">with most of the Shops business units remained closed in the midst of the </w:t>
      </w:r>
      <w:r w:rsidR="00983566">
        <w:t>Covid-19 pandemic</w:t>
      </w:r>
      <w:r>
        <w:t xml:space="preserve">. </w:t>
      </w:r>
    </w:p>
    <w:p w14:paraId="01E77F37" w14:textId="77777777" w:rsidR="000E29DB" w:rsidRDefault="000E29DB" w:rsidP="005573C1"/>
    <w:p w14:paraId="22289743" w14:textId="2C9FD3E4" w:rsidR="004E1DC5" w:rsidRDefault="004E1DC5" w:rsidP="005573C1">
      <w:r>
        <w:t xml:space="preserve">Sales were limited to residual Residential Hall </w:t>
      </w:r>
      <w:r w:rsidR="000E5F93">
        <w:t>meal activity</w:t>
      </w:r>
      <w:r w:rsidR="000E29DB">
        <w:t xml:space="preserve"> and </w:t>
      </w:r>
      <w:r w:rsidR="00C85007">
        <w:t>Bookstore sales for campus orders along with surprisingly good web sales.</w:t>
      </w:r>
      <w:r w:rsidR="000E5F93">
        <w:t xml:space="preserve">  All other dining and retail outlets reported zero sales and remained closed for the month. </w:t>
      </w:r>
      <w:r>
        <w:t xml:space="preserve"> </w:t>
      </w:r>
      <w:r w:rsidR="00C85007">
        <w:t>Once again o</w:t>
      </w:r>
      <w:r w:rsidR="00777EC8">
        <w:t xml:space="preserve">n the positive side </w:t>
      </w:r>
      <w:r w:rsidR="00C85007">
        <w:t xml:space="preserve">was the second full month of recovery in </w:t>
      </w:r>
      <w:r w:rsidR="00777EC8">
        <w:t>Financial Markets</w:t>
      </w:r>
      <w:r w:rsidR="00C85007">
        <w:t xml:space="preserve"> that has investments nearing breakeven for the year. </w:t>
      </w:r>
    </w:p>
    <w:p w14:paraId="67E93C95" w14:textId="3D82923C" w:rsidR="001855B7" w:rsidRDefault="001855B7" w:rsidP="005573C1"/>
    <w:p w14:paraId="635796CB" w14:textId="77629B96" w:rsidR="00C85007" w:rsidRDefault="005573C1" w:rsidP="005573C1">
      <w:r w:rsidRPr="00EF408C">
        <w:t>Overall Sales came in at $</w:t>
      </w:r>
      <w:r w:rsidR="00C85007">
        <w:t xml:space="preserve">506,192 </w:t>
      </w:r>
      <w:r w:rsidR="002617A5">
        <w:t>and $</w:t>
      </w:r>
      <w:r w:rsidR="00777EC8">
        <w:t>2,</w:t>
      </w:r>
      <w:r w:rsidR="00C85007">
        <w:t>360,129</w:t>
      </w:r>
      <w:r w:rsidR="002617A5">
        <w:t xml:space="preserve"> (</w:t>
      </w:r>
      <w:r w:rsidR="00777EC8">
        <w:t>8</w:t>
      </w:r>
      <w:r w:rsidR="00C85007">
        <w:t>2.3</w:t>
      </w:r>
      <w:r w:rsidR="002617A5">
        <w:t>%) below plan</w:t>
      </w:r>
      <w:r w:rsidR="00777EC8">
        <w:t xml:space="preserve">.  </w:t>
      </w:r>
      <w:r>
        <w:t>Cost of Goods</w:t>
      </w:r>
      <w:r w:rsidR="00C85007">
        <w:t>,</w:t>
      </w:r>
      <w:r>
        <w:t xml:space="preserve"> </w:t>
      </w:r>
      <w:r w:rsidR="00C85007">
        <w:t xml:space="preserve">as a </w:t>
      </w:r>
      <w:r>
        <w:t>percentage</w:t>
      </w:r>
      <w:r w:rsidR="00C85007">
        <w:t xml:space="preserve"> comparison, are no longer valid with margins running lower due to the change in product mix along with the reduced economy of scale of food purchases for residential dining. </w:t>
      </w:r>
    </w:p>
    <w:p w14:paraId="15E5F238" w14:textId="77777777" w:rsidR="00527162" w:rsidRDefault="00527162" w:rsidP="005573C1"/>
    <w:p w14:paraId="482794BB" w14:textId="43B2B73B" w:rsidR="00FD3A6F" w:rsidRDefault="00FD3A6F" w:rsidP="00FD3A6F">
      <w:r>
        <w:t>Credits &amp; Revenues came in at $</w:t>
      </w:r>
      <w:r w:rsidR="00C85007">
        <w:t>114,560</w:t>
      </w:r>
      <w:r w:rsidR="00CD7742">
        <w:t xml:space="preserve"> and </w:t>
      </w:r>
      <w:r>
        <w:t>$</w:t>
      </w:r>
      <w:r w:rsidR="00CD7742">
        <w:t xml:space="preserve">15,818 below plan as </w:t>
      </w:r>
      <w:r w:rsidR="00527162">
        <w:t>accelerated Grad Fair commission payments from Balfour</w:t>
      </w:r>
      <w:r w:rsidR="00CD7742">
        <w:t xml:space="preserve"> were finalized with all other commission related activity coming to a halt.   </w:t>
      </w:r>
      <w:r w:rsidR="007348F7">
        <w:t xml:space="preserve">The above resulted in </w:t>
      </w:r>
      <w:r>
        <w:t>Operating Income of</w:t>
      </w:r>
      <w:r w:rsidR="00996702">
        <w:t xml:space="preserve"> </w:t>
      </w:r>
      <w:r w:rsidR="00F90A9A">
        <w:t>negative $</w:t>
      </w:r>
      <w:r w:rsidR="00CD7742">
        <w:t>291,554</w:t>
      </w:r>
      <w:r w:rsidR="007348F7">
        <w:t xml:space="preserve"> </w:t>
      </w:r>
      <w:r w:rsidR="00996702">
        <w:t>and $</w:t>
      </w:r>
      <w:r w:rsidR="007348F7">
        <w:t>6</w:t>
      </w:r>
      <w:r w:rsidR="00CD7742">
        <w:t>90,188</w:t>
      </w:r>
      <w:r w:rsidR="007348F7">
        <w:t xml:space="preserve"> </w:t>
      </w:r>
      <w:r w:rsidR="00CF6A65">
        <w:t xml:space="preserve">below </w:t>
      </w:r>
      <w:r>
        <w:t xml:space="preserve">budget.  </w:t>
      </w:r>
    </w:p>
    <w:p w14:paraId="3DDFF3AD" w14:textId="77777777" w:rsidR="00F90A9A" w:rsidRDefault="00F90A9A" w:rsidP="005573C1"/>
    <w:p w14:paraId="05E00427" w14:textId="77777777" w:rsidR="00CD7742" w:rsidRDefault="005573C1" w:rsidP="005573C1">
      <w:r w:rsidRPr="00EF408C">
        <w:t xml:space="preserve">G&amp;A expense </w:t>
      </w:r>
      <w:r w:rsidR="00996702">
        <w:t xml:space="preserve">continues to run below plan </w:t>
      </w:r>
      <w:r w:rsidR="007348F7">
        <w:t xml:space="preserve">due to labor cuts </w:t>
      </w:r>
      <w:r w:rsidR="00387BB3">
        <w:t>while</w:t>
      </w:r>
      <w:r w:rsidR="00CD7742">
        <w:t xml:space="preserve"> the aforementioned</w:t>
      </w:r>
      <w:r w:rsidR="00387BB3">
        <w:t xml:space="preserve"> </w:t>
      </w:r>
      <w:r w:rsidR="00CD7742">
        <w:t>i</w:t>
      </w:r>
      <w:r w:rsidR="00387BB3">
        <w:t xml:space="preserve">nvestment </w:t>
      </w:r>
      <w:r w:rsidR="00996702">
        <w:t>t</w:t>
      </w:r>
      <w:r w:rsidR="007348F7">
        <w:t xml:space="preserve">urn around </w:t>
      </w:r>
      <w:r w:rsidR="00CD7742">
        <w:t xml:space="preserve">recaptured another $526,031 of early year losses.  </w:t>
      </w:r>
    </w:p>
    <w:p w14:paraId="38F2A11A" w14:textId="77777777" w:rsidR="00CD7742" w:rsidRDefault="00CD7742" w:rsidP="005573C1"/>
    <w:p w14:paraId="6E2E7E32" w14:textId="631FA0C6" w:rsidR="005573C1" w:rsidRDefault="007348F7" w:rsidP="005573C1">
      <w:r>
        <w:t xml:space="preserve">This </w:t>
      </w:r>
      <w:r w:rsidR="00CD7742">
        <w:t xml:space="preserve">large gain pushed the Net Contribution into </w:t>
      </w:r>
      <w:r>
        <w:t xml:space="preserve">positive </w:t>
      </w:r>
      <w:r w:rsidR="00CD7742">
        <w:t xml:space="preserve">territory for the month coming in </w:t>
      </w:r>
      <w:r w:rsidR="002960E7">
        <w:t>at $</w:t>
      </w:r>
      <w:r w:rsidR="00CD7742">
        <w:t>40,322</w:t>
      </w:r>
      <w:r w:rsidR="00BD3D0B">
        <w:t xml:space="preserve">. </w:t>
      </w:r>
      <w:r w:rsidR="00CD7742">
        <w:t xml:space="preserve"> There were no </w:t>
      </w:r>
      <w:r w:rsidR="005573C1">
        <w:t xml:space="preserve">Capital expenditures in </w:t>
      </w:r>
      <w:r w:rsidR="000E29DB">
        <w:t>May</w:t>
      </w:r>
      <w:r w:rsidR="005573C1">
        <w:t xml:space="preserve"> </w:t>
      </w:r>
      <w:r w:rsidR="00CD7742">
        <w:t>to offset depreciation so in combination with the above cas</w:t>
      </w:r>
      <w:r w:rsidR="00520005">
        <w:t xml:space="preserve">h flow </w:t>
      </w:r>
      <w:r w:rsidR="00C86E0D">
        <w:t>for the month came in $125,008</w:t>
      </w:r>
      <w:r w:rsidR="00520005">
        <w:t xml:space="preserve">.  </w:t>
      </w:r>
      <w:r w:rsidR="005573C1">
        <w:t xml:space="preserve">  </w:t>
      </w:r>
    </w:p>
    <w:p w14:paraId="43C20A65" w14:textId="77777777" w:rsidR="00E45CEA" w:rsidRDefault="00E45CEA" w:rsidP="002F5F37"/>
    <w:p w14:paraId="0FBD6B84" w14:textId="117925F9" w:rsidR="00712A59" w:rsidRDefault="002F5F37" w:rsidP="00BB7005">
      <w:r>
        <w:lastRenderedPageBreak/>
        <w:t xml:space="preserve">Table 1 below highlights the </w:t>
      </w:r>
      <w:r w:rsidR="000E29DB">
        <w:t>May</w:t>
      </w:r>
      <w:r>
        <w:t xml:space="preserve"> and Year-to-Date Operating Statement summary while table 2 provides the corresponding divisional breakdown. </w:t>
      </w:r>
    </w:p>
    <w:p w14:paraId="1B5E7860" w14:textId="77777777" w:rsidR="00520005" w:rsidRDefault="00520005" w:rsidP="00BB7005"/>
    <w:p w14:paraId="61AB1D81" w14:textId="020706ED" w:rsidR="00BB7005" w:rsidRDefault="000E29DB" w:rsidP="00BB7005">
      <w:r w:rsidRPr="000E29DB">
        <w:drawing>
          <wp:inline distT="0" distB="0" distL="0" distR="0" wp14:anchorId="1C6BD16D" wp14:editId="048151FD">
            <wp:extent cx="6060558" cy="409032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1" cy="412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4FBE8BC2" w:rsidR="00BB7005" w:rsidRDefault="00BB7005" w:rsidP="00BB7005">
      <w:r>
        <w:t>Table 1</w:t>
      </w:r>
    </w:p>
    <w:p w14:paraId="3968A8E3" w14:textId="238146CD" w:rsidR="00BB7005" w:rsidRDefault="000E29DB" w:rsidP="00BB7005">
      <w:r w:rsidRPr="000E29DB">
        <w:drawing>
          <wp:inline distT="0" distB="0" distL="0" distR="0" wp14:anchorId="40F7BE8B" wp14:editId="2FAD783B">
            <wp:extent cx="6141460" cy="262624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16" cy="2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/>
    <w:p w14:paraId="17BC19C0" w14:textId="77777777" w:rsidR="00BD2124" w:rsidRDefault="00BD2124" w:rsidP="00BB7005"/>
    <w:p w14:paraId="4600D3FC" w14:textId="2C598534" w:rsidR="00301C20" w:rsidRDefault="00BB7005" w:rsidP="00BB7005">
      <w:r>
        <w:t xml:space="preserve">Table 3 </w:t>
      </w:r>
      <w:r w:rsidR="002E7045">
        <w:t xml:space="preserve">and 4 </w:t>
      </w:r>
      <w:r>
        <w:t xml:space="preserve">below provides a </w:t>
      </w:r>
      <w:r w:rsidR="002E7045">
        <w:t xml:space="preserve">similar </w:t>
      </w:r>
      <w:r w:rsidR="00520005">
        <w:t xml:space="preserve">total year </w:t>
      </w:r>
      <w:r>
        <w:t xml:space="preserve">comparison with prior year </w:t>
      </w:r>
      <w:r w:rsidR="002E7045">
        <w:t>in summary and divisional format</w:t>
      </w:r>
      <w:r w:rsidR="00F90A9A">
        <w:t xml:space="preserve"> given the </w:t>
      </w:r>
      <w:r w:rsidR="000E29DB">
        <w:t>May</w:t>
      </w:r>
      <w:r w:rsidR="00F90A9A">
        <w:t xml:space="preserve"> pandemic impact</w:t>
      </w:r>
      <w:r w:rsidR="002E7045">
        <w:t xml:space="preserve">. Both </w:t>
      </w:r>
      <w:r>
        <w:t>reveal</w:t>
      </w:r>
      <w:r w:rsidR="002E7045">
        <w:t xml:space="preserve"> current year</w:t>
      </w:r>
      <w:r w:rsidR="00FA55EC">
        <w:t xml:space="preserve"> operating </w:t>
      </w:r>
      <w:r w:rsidR="004B4598">
        <w:t xml:space="preserve">results </w:t>
      </w:r>
      <w:r w:rsidR="002E7045">
        <w:t xml:space="preserve">trailing </w:t>
      </w:r>
      <w:r w:rsidR="00F90A9A">
        <w:t xml:space="preserve">in all aspects. </w:t>
      </w:r>
      <w:r w:rsidR="00520005">
        <w:t xml:space="preserve"> </w:t>
      </w:r>
      <w:r w:rsidR="00301C20">
        <w:t xml:space="preserve"> </w:t>
      </w:r>
    </w:p>
    <w:p w14:paraId="18D59672" w14:textId="4D9FD2B7" w:rsidR="00301C20" w:rsidRDefault="00301C20" w:rsidP="00BB7005"/>
    <w:p w14:paraId="07638AB4" w14:textId="384970A8" w:rsidR="00650E4B" w:rsidRDefault="000E29DB" w:rsidP="00BB7005">
      <w:r w:rsidRPr="000E29DB">
        <w:drawing>
          <wp:inline distT="0" distB="0" distL="0" distR="0" wp14:anchorId="3AC77BCE" wp14:editId="48A95D8E">
            <wp:extent cx="6264800" cy="1956391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036" cy="196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ED9E" w14:textId="4D6B48A7" w:rsidR="00650E4B" w:rsidRDefault="00650E4B" w:rsidP="00650E4B">
      <w:r>
        <w:t>Table 3</w:t>
      </w:r>
    </w:p>
    <w:p w14:paraId="27CF1A0B" w14:textId="77777777" w:rsidR="00520005" w:rsidRDefault="00520005" w:rsidP="00650E4B"/>
    <w:p w14:paraId="27B288BA" w14:textId="658D62AB" w:rsidR="00BB7005" w:rsidRDefault="000E29DB" w:rsidP="00BB7005">
      <w:r w:rsidRPr="000E29DB">
        <w:drawing>
          <wp:inline distT="0" distB="0" distL="0" distR="0" wp14:anchorId="318B7213" wp14:editId="2003C0DC">
            <wp:extent cx="6325993" cy="1265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664" cy="1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0858" w14:textId="48AEB04A" w:rsidR="005573C1" w:rsidRDefault="00B94288" w:rsidP="005573C1">
      <w:r>
        <w:t xml:space="preserve">Table </w:t>
      </w:r>
      <w:r w:rsidR="002E7045">
        <w:t>4</w:t>
      </w:r>
    </w:p>
    <w:p w14:paraId="70ADE1D8" w14:textId="17D2CA18" w:rsidR="006E7BFD" w:rsidRDefault="006E7BFD" w:rsidP="005573C1"/>
    <w:p w14:paraId="0C9FC3B4" w14:textId="2D7E31A5" w:rsidR="006E7BFD" w:rsidRDefault="006E7BFD" w:rsidP="005573C1"/>
    <w:p w14:paraId="5D436533" w14:textId="085BBF5E" w:rsidR="006E7BFD" w:rsidRDefault="006E7BFD" w:rsidP="005573C1"/>
    <w:p w14:paraId="42C93877" w14:textId="75D8C683" w:rsidR="006E7BFD" w:rsidRDefault="006E7BFD" w:rsidP="005573C1"/>
    <w:sectPr w:rsidR="006E7BFD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3CFD7136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60E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783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72AB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5557802-9e22-4343-89e6-23a870bb8bdc"/>
    <ds:schemaRef ds:uri="http://schemas.microsoft.com/office/infopath/2007/PartnerControls"/>
    <ds:schemaRef ds:uri="b1c68f9e-8917-40a5-b1cf-2a84506a7b0d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1E7C7-071D-4BD1-B1AE-C7A6F6FD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6278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27</cp:revision>
  <cp:lastPrinted>2020-02-28T00:18:00Z</cp:lastPrinted>
  <dcterms:created xsi:type="dcterms:W3CDTF">2020-02-26T17:30:00Z</dcterms:created>
  <dcterms:modified xsi:type="dcterms:W3CDTF">2020-06-17T23:52:00Z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