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4F8B5D6D" w:rsidR="00FB6B09" w:rsidRDefault="00FB6B09" w:rsidP="00FB6B09">
      <w:r>
        <w:t>Date:</w:t>
      </w:r>
      <w:r>
        <w:tab/>
      </w:r>
      <w:r>
        <w:tab/>
      </w:r>
      <w:r w:rsidR="00455891">
        <w:t xml:space="preserve">August </w:t>
      </w:r>
      <w:r w:rsidR="00B90498">
        <w:t>1</w:t>
      </w:r>
      <w:r w:rsidR="00455891">
        <w:t>7</w:t>
      </w:r>
      <w:r w:rsidR="00864F1D">
        <w:t xml:space="preserve">, </w:t>
      </w:r>
      <w:r>
        <w:t>20</w:t>
      </w:r>
      <w:r w:rsidR="002F5F37">
        <w:t>20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189E4E5E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455891">
        <w:t>June</w:t>
      </w:r>
      <w:r w:rsidR="008D42D8">
        <w:t xml:space="preserve"> </w:t>
      </w:r>
      <w:r>
        <w:t>2</w:t>
      </w:r>
      <w:r w:rsidRPr="0046718C">
        <w:t>0</w:t>
      </w:r>
      <w:r w:rsidR="00504A8E">
        <w:t>20</w:t>
      </w:r>
      <w:r w:rsidR="00455891">
        <w:t xml:space="preserve"> Pre-Audit Reports</w:t>
      </w:r>
    </w:p>
    <w:p w14:paraId="082AE061" w14:textId="64EF7DA4" w:rsidR="00455891" w:rsidRDefault="00455891" w:rsidP="005573C1"/>
    <w:p w14:paraId="52B3E4BB" w14:textId="77777777" w:rsidR="00B90498" w:rsidRDefault="00B90498" w:rsidP="005573C1"/>
    <w:p w14:paraId="66C216BA" w14:textId="554E2113" w:rsidR="00455891" w:rsidRDefault="00455891" w:rsidP="00455891">
      <w:r>
        <w:t xml:space="preserve">June financial results are Pre-audit with final numbers pending audit completion scheduled for mid-September.  June resulted in a negative Operating Income as anticipated given </w:t>
      </w:r>
      <w:r w:rsidR="00B97683">
        <w:t xml:space="preserve">the move towards distance learning extended through </w:t>
      </w:r>
      <w:r>
        <w:t>summer program activity</w:t>
      </w:r>
      <w:r w:rsidR="00B97683">
        <w:t xml:space="preserve"> with all but a handful of Shops operations remaining open</w:t>
      </w:r>
      <w:r>
        <w:t xml:space="preserve">.  However, investment gains </w:t>
      </w:r>
      <w:r w:rsidR="00B97683">
        <w:t xml:space="preserve">remained positive through year-end but were off-set by </w:t>
      </w:r>
      <w:r>
        <w:t xml:space="preserve">non-cash actuarial adjustments </w:t>
      </w:r>
      <w:r w:rsidR="00B97683">
        <w:t xml:space="preserve">for retiree benefits. </w:t>
      </w:r>
      <w:r>
        <w:t xml:space="preserve"> </w:t>
      </w:r>
    </w:p>
    <w:p w14:paraId="3EEED395" w14:textId="77777777" w:rsidR="00455891" w:rsidRDefault="00455891" w:rsidP="00455891"/>
    <w:p w14:paraId="586D9A34" w14:textId="5B798E9F" w:rsidR="00455891" w:rsidRDefault="00455891" w:rsidP="00455891">
      <w:r>
        <w:t>Net Contribution came in at a</w:t>
      </w:r>
      <w:r w:rsidR="00B97683">
        <w:t xml:space="preserve"> negative (</w:t>
      </w:r>
      <w:r>
        <w:t>$1,</w:t>
      </w:r>
      <w:r w:rsidR="00B97683">
        <w:t>246,079)</w:t>
      </w:r>
      <w:r>
        <w:t xml:space="preserve"> on sales of $</w:t>
      </w:r>
      <w:r w:rsidR="00B97683">
        <w:t>584,523</w:t>
      </w:r>
      <w:r>
        <w:t xml:space="preserve"> and included year-end closing adjusting entries for Physical Inventory audit, retirement accounts actuarial reports, bad debt reviews and account cleanup.</w:t>
      </w:r>
    </w:p>
    <w:p w14:paraId="7FC1A4F6" w14:textId="77777777" w:rsidR="00455891" w:rsidRDefault="00455891" w:rsidP="00455891"/>
    <w:p w14:paraId="42E27D09" w14:textId="77777777" w:rsidR="00455891" w:rsidRDefault="00455891" w:rsidP="00455891">
      <w:r>
        <w:t>Key adjustment included non-cash entries in the G&amp;A pool including:</w:t>
      </w:r>
    </w:p>
    <w:p w14:paraId="05E38BEE" w14:textId="6828295A" w:rsidR="00455891" w:rsidRDefault="00455891" w:rsidP="00455891">
      <w:pPr>
        <w:pStyle w:val="ListParagraph"/>
        <w:numPr>
          <w:ilvl w:val="0"/>
          <w:numId w:val="21"/>
        </w:numPr>
      </w:pPr>
      <w:r>
        <w:t>Post Retirement Benefit Actuarial adjustment of  positive $</w:t>
      </w:r>
      <w:r w:rsidR="00B97683">
        <w:t>169,011</w:t>
      </w:r>
    </w:p>
    <w:p w14:paraId="057BCBC8" w14:textId="77777777" w:rsidR="00455891" w:rsidRDefault="00455891" w:rsidP="00455891">
      <w:pPr>
        <w:pStyle w:val="ListParagraph"/>
        <w:numPr>
          <w:ilvl w:val="1"/>
          <w:numId w:val="21"/>
        </w:numPr>
      </w:pPr>
      <w:r>
        <w:t>This was the result of reduced medical premium projections and VEBA investment gains.</w:t>
      </w:r>
    </w:p>
    <w:p w14:paraId="79457279" w14:textId="5B41712D" w:rsidR="00455891" w:rsidRDefault="00455891" w:rsidP="00455891">
      <w:pPr>
        <w:pStyle w:val="ListParagraph"/>
        <w:numPr>
          <w:ilvl w:val="0"/>
          <w:numId w:val="21"/>
        </w:numPr>
      </w:pPr>
      <w:r>
        <w:t>CalPERS unfunded Liability projection increase of $</w:t>
      </w:r>
      <w:r w:rsidR="00B97683">
        <w:t>823,761</w:t>
      </w:r>
    </w:p>
    <w:p w14:paraId="78457C59" w14:textId="51D2414A" w:rsidR="00455891" w:rsidRDefault="00455891" w:rsidP="00455891">
      <w:pPr>
        <w:pStyle w:val="ListParagraph"/>
        <w:numPr>
          <w:ilvl w:val="0"/>
          <w:numId w:val="21"/>
        </w:numPr>
      </w:pPr>
      <w:r>
        <w:t>Incentive Comp accrual of $</w:t>
      </w:r>
      <w:r w:rsidR="00B97683">
        <w:t>200</w:t>
      </w:r>
      <w:r>
        <w:t xml:space="preserve">,000. </w:t>
      </w:r>
      <w:r w:rsidR="00B97683">
        <w:t xml:space="preserve">This represents the estimated </w:t>
      </w:r>
      <w:r w:rsidR="00931EAA">
        <w:t xml:space="preserve">future </w:t>
      </w:r>
      <w:r w:rsidR="00B97683">
        <w:t>liability payable</w:t>
      </w:r>
      <w:r w:rsidR="00931EAA">
        <w:t xml:space="preserve"> since the program has been terminated starting with FY 20/21</w:t>
      </w:r>
    </w:p>
    <w:p w14:paraId="1CC04DDB" w14:textId="77777777" w:rsidR="00455891" w:rsidRDefault="00455891" w:rsidP="00455891"/>
    <w:p w14:paraId="18779737" w14:textId="77777777" w:rsidR="00455891" w:rsidRDefault="00455891" w:rsidP="00455891">
      <w:r>
        <w:t xml:space="preserve">The Operating Statement (See table 1) depicts the below summarized activity while Tables 2 &amp; 3 recap the Divisional results against budget and last year respectively. </w:t>
      </w:r>
    </w:p>
    <w:p w14:paraId="3EF0C57D" w14:textId="77777777" w:rsidR="00455891" w:rsidRDefault="00455891" w:rsidP="00455891"/>
    <w:p w14:paraId="35D52234" w14:textId="77777777" w:rsidR="00455891" w:rsidRDefault="00455891" w:rsidP="00455891"/>
    <w:p w14:paraId="4C8DFDE8" w14:textId="77777777" w:rsidR="00455891" w:rsidRDefault="00455891" w:rsidP="00455891"/>
    <w:p w14:paraId="7E527F06" w14:textId="77777777" w:rsidR="00455891" w:rsidRDefault="00455891" w:rsidP="00455891"/>
    <w:p w14:paraId="3DE00FE7" w14:textId="77777777" w:rsidR="00455891" w:rsidRDefault="00455891" w:rsidP="00455891"/>
    <w:p w14:paraId="57CEDB2C" w14:textId="77777777" w:rsidR="00455891" w:rsidRDefault="00455891" w:rsidP="00455891"/>
    <w:p w14:paraId="35BB010D" w14:textId="77777777" w:rsidR="00455891" w:rsidRDefault="00455891" w:rsidP="00455891"/>
    <w:p w14:paraId="62240FEF" w14:textId="77777777" w:rsidR="00455891" w:rsidRDefault="00455891" w:rsidP="00455891"/>
    <w:p w14:paraId="1C843737" w14:textId="77777777" w:rsidR="00455891" w:rsidRDefault="00455891" w:rsidP="00455891"/>
    <w:p w14:paraId="17470855" w14:textId="77777777" w:rsidR="00455891" w:rsidRDefault="00455891" w:rsidP="00455891"/>
    <w:p w14:paraId="1B176612" w14:textId="77777777" w:rsidR="00455891" w:rsidRDefault="00455891" w:rsidP="00455891"/>
    <w:p w14:paraId="6BB37510" w14:textId="6F5B2D61" w:rsidR="00455891" w:rsidRPr="00174375" w:rsidRDefault="00455891" w:rsidP="00455891">
      <w:r w:rsidRPr="00174375">
        <w:rPr>
          <w:b/>
          <w:u w:val="single"/>
        </w:rPr>
        <w:t>Sales</w:t>
      </w:r>
      <w:r w:rsidRPr="00174375">
        <w:t xml:space="preserve"> came in at $</w:t>
      </w:r>
      <w:r w:rsidR="00E9370D">
        <w:t>584,523</w:t>
      </w:r>
      <w:r>
        <w:t xml:space="preserve"> </w:t>
      </w:r>
      <w:r w:rsidRPr="00174375">
        <w:t>and $</w:t>
      </w:r>
      <w:r w:rsidR="00E9370D">
        <w:t>810,284</w:t>
      </w:r>
      <w:r>
        <w:t xml:space="preserve"> below</w:t>
      </w:r>
      <w:r w:rsidRPr="00174375">
        <w:t xml:space="preserve"> budget.  </w:t>
      </w:r>
      <w:r w:rsidR="00E9370D">
        <w:t xml:space="preserve">All the sales were attributed to Bookstore activity for both web sales and campus delivery of covid-19 related products including computers.  Residential dining reflected negative sales as a result of student meal plan refunds.  </w:t>
      </w:r>
      <w:r>
        <w:t xml:space="preserve">  </w:t>
      </w:r>
    </w:p>
    <w:p w14:paraId="5E9ECD50" w14:textId="77777777" w:rsidR="00455891" w:rsidRPr="00174375" w:rsidRDefault="00455891" w:rsidP="00455891"/>
    <w:p w14:paraId="0D37627D" w14:textId="53C2378F" w:rsidR="00455891" w:rsidRDefault="00455891" w:rsidP="00455891">
      <w:r w:rsidRPr="00174375">
        <w:rPr>
          <w:b/>
          <w:u w:val="single"/>
        </w:rPr>
        <w:t xml:space="preserve">Cost of </w:t>
      </w:r>
      <w:r w:rsidR="00B97AB9" w:rsidRPr="00174375">
        <w:rPr>
          <w:b/>
          <w:u w:val="single"/>
        </w:rPr>
        <w:t xml:space="preserve">Goods </w:t>
      </w:r>
      <w:r w:rsidR="00B97AB9">
        <w:t>came</w:t>
      </w:r>
      <w:r w:rsidR="00E9370D">
        <w:t xml:space="preserve"> in at 110.5% </w:t>
      </w:r>
      <w:r>
        <w:t>an</w:t>
      </w:r>
      <w:r w:rsidR="00E9370D">
        <w:t>d were unmeasurab</w:t>
      </w:r>
      <w:r w:rsidR="00BE2EF1">
        <w:t>le due to the meal plan refunds, inventory write-offs for food venue closures</w:t>
      </w:r>
      <w:r>
        <w:t xml:space="preserve"> 22 points lower than plan and was skewed by inventory adjustments and missed sales in the high margin areas such as retail sales and food services. </w:t>
      </w:r>
    </w:p>
    <w:p w14:paraId="20CA0285" w14:textId="77777777" w:rsidR="00455891" w:rsidRDefault="00455891" w:rsidP="00455891"/>
    <w:p w14:paraId="00CF6922" w14:textId="7F3C563C" w:rsidR="00455891" w:rsidRDefault="00455891" w:rsidP="00455891">
      <w:r>
        <w:t xml:space="preserve"> </w:t>
      </w:r>
      <w:r w:rsidRPr="00604D96">
        <w:rPr>
          <w:b/>
          <w:u w:val="single"/>
        </w:rPr>
        <w:t>Credit’s and Revenues</w:t>
      </w:r>
      <w:r>
        <w:t xml:space="preserve"> came in at $</w:t>
      </w:r>
      <w:r w:rsidR="00BE2EF1">
        <w:t xml:space="preserve">82,049 </w:t>
      </w:r>
      <w:r>
        <w:t>and $</w:t>
      </w:r>
      <w:r w:rsidR="00BE2EF1">
        <w:t>23,476</w:t>
      </w:r>
      <w:r>
        <w:t xml:space="preserve"> be</w:t>
      </w:r>
      <w:r w:rsidR="00BE2EF1">
        <w:t xml:space="preserve">low plan </w:t>
      </w:r>
      <w:r>
        <w:t>as vendor commissions associated</w:t>
      </w:r>
      <w:r w:rsidR="00BE2EF1">
        <w:t xml:space="preserve"> with food service were prior period receipts with no new activity due to closure.</w:t>
      </w:r>
      <w:r>
        <w:t xml:space="preserve"> Grad Fair </w:t>
      </w:r>
      <w:r w:rsidR="00BE2EF1">
        <w:t xml:space="preserve">saw residual cleanup for account reconciliation. </w:t>
      </w:r>
      <w:r>
        <w:t xml:space="preserve">   </w:t>
      </w:r>
    </w:p>
    <w:p w14:paraId="3000F566" w14:textId="77777777" w:rsidR="00455891" w:rsidRDefault="00455891" w:rsidP="00455891">
      <w:pPr>
        <w:rPr>
          <w:b/>
          <w:u w:val="single"/>
        </w:rPr>
      </w:pPr>
    </w:p>
    <w:p w14:paraId="2FD31ECD" w14:textId="53965393" w:rsidR="00455891" w:rsidRDefault="00455891" w:rsidP="00455891">
      <w:r w:rsidRPr="00604D96">
        <w:rPr>
          <w:b/>
          <w:u w:val="single"/>
        </w:rPr>
        <w:t xml:space="preserve">Operating </w:t>
      </w:r>
      <w:r>
        <w:rPr>
          <w:b/>
          <w:u w:val="single"/>
        </w:rPr>
        <w:t xml:space="preserve">Expenses </w:t>
      </w:r>
      <w:r w:rsidR="00091CA1">
        <w:t xml:space="preserve">were $631,533 and </w:t>
      </w:r>
      <w:r>
        <w:t>$</w:t>
      </w:r>
      <w:r w:rsidR="00091CA1">
        <w:t xml:space="preserve">573,929 </w:t>
      </w:r>
      <w:r>
        <w:t>below budget</w:t>
      </w:r>
      <w:r w:rsidR="00091CA1">
        <w:t xml:space="preserve"> as staffing was 50 percent of summer levels with all food venues closed</w:t>
      </w:r>
      <w:r>
        <w:t xml:space="preserve">.  </w:t>
      </w:r>
      <w:r w:rsidR="00091CA1">
        <w:t xml:space="preserve">Another </w:t>
      </w:r>
      <w:r>
        <w:t>key item was the elimination of the inventory reserve</w:t>
      </w:r>
      <w:r w:rsidR="00091CA1">
        <w:t xml:space="preserve">, </w:t>
      </w:r>
      <w:r>
        <w:t>$1</w:t>
      </w:r>
      <w:r w:rsidR="00091CA1">
        <w:t xml:space="preserve">43,400, </w:t>
      </w:r>
      <w:r>
        <w:t>as part of the physical inventory</w:t>
      </w:r>
      <w:r w:rsidR="00091CA1">
        <w:t xml:space="preserve"> reconciliation that moved the adjustment to Cost of Goods.  The only area of increase was Freight since the majority of sales were web based and thereby requiring shipment. </w:t>
      </w:r>
      <w:r>
        <w:t xml:space="preserve">    </w:t>
      </w:r>
    </w:p>
    <w:p w14:paraId="51516E28" w14:textId="77777777" w:rsidR="00455891" w:rsidRDefault="00455891" w:rsidP="00455891">
      <w:pPr>
        <w:rPr>
          <w:b/>
          <w:u w:val="single"/>
        </w:rPr>
      </w:pPr>
    </w:p>
    <w:p w14:paraId="3BFBE842" w14:textId="775311F1" w:rsidR="00455891" w:rsidRDefault="00455891" w:rsidP="00455891">
      <w:r w:rsidRPr="00604D96">
        <w:rPr>
          <w:b/>
          <w:u w:val="single"/>
        </w:rPr>
        <w:t>G&amp;A</w:t>
      </w:r>
      <w:r>
        <w:t xml:space="preserve"> came in at $1,0</w:t>
      </w:r>
      <w:r w:rsidR="00091CA1">
        <w:t>14</w:t>
      </w:r>
      <w:r>
        <w:t>,</w:t>
      </w:r>
      <w:r w:rsidR="00091CA1">
        <w:t xml:space="preserve">635 and higher than budget </w:t>
      </w:r>
      <w:r w:rsidR="00067C47">
        <w:t xml:space="preserve">due to the aforementioned year-end adjustments that </w:t>
      </w:r>
      <w:r>
        <w:t xml:space="preserve">combined </w:t>
      </w:r>
      <w:r w:rsidR="00067C47">
        <w:t xml:space="preserve">for </w:t>
      </w:r>
      <w:r>
        <w:t>$</w:t>
      </w:r>
      <w:r w:rsidR="00067C47">
        <w:t>854,750</w:t>
      </w:r>
      <w:r>
        <w:t xml:space="preserve">.  These are non-cash entries only that are reported through the operating statement.  </w:t>
      </w:r>
    </w:p>
    <w:p w14:paraId="4A0A078A" w14:textId="77777777" w:rsidR="00455891" w:rsidRDefault="00455891" w:rsidP="00455891"/>
    <w:p w14:paraId="7DD0119F" w14:textId="3D4EE132" w:rsidR="00455891" w:rsidRDefault="00455891" w:rsidP="00455891">
      <w:r w:rsidRPr="00604D96">
        <w:rPr>
          <w:b/>
          <w:u w:val="single"/>
        </w:rPr>
        <w:t>Other Income/Investments</w:t>
      </w:r>
      <w:r>
        <w:t xml:space="preserve"> – The financial markets continued their</w:t>
      </w:r>
      <w:r w:rsidR="00067C47">
        <w:t xml:space="preserve"> upward trend for the third month in a row and saw a </w:t>
      </w:r>
      <w:r>
        <w:t>gain of $</w:t>
      </w:r>
      <w:r w:rsidR="00067C47">
        <w:t>379</w:t>
      </w:r>
      <w:r>
        <w:t>,</w:t>
      </w:r>
      <w:r w:rsidR="00067C47">
        <w:t>242</w:t>
      </w:r>
      <w:r>
        <w:t xml:space="preserve"> and ending the year in positive territory.       </w:t>
      </w:r>
    </w:p>
    <w:p w14:paraId="3240EE75" w14:textId="77777777" w:rsidR="00455891" w:rsidRDefault="00455891" w:rsidP="00455891"/>
    <w:p w14:paraId="0008D55A" w14:textId="5F8343E4" w:rsidR="00455891" w:rsidRDefault="00455891" w:rsidP="00455891">
      <w:r>
        <w:t xml:space="preserve">In summary, June’s reported </w:t>
      </w:r>
      <w:r w:rsidRPr="00EE5F36">
        <w:rPr>
          <w:b/>
          <w:u w:val="single"/>
        </w:rPr>
        <w:t>Net Contribution</w:t>
      </w:r>
      <w:r>
        <w:t xml:space="preserve"> was a </w:t>
      </w:r>
      <w:r w:rsidR="00067C47">
        <w:t xml:space="preserve">negative </w:t>
      </w:r>
      <w:r>
        <w:t>$1,</w:t>
      </w:r>
      <w:r w:rsidR="00067C47">
        <w:t>246,080</w:t>
      </w:r>
      <w:r>
        <w:t xml:space="preserve"> </w:t>
      </w:r>
      <w:r w:rsidR="00067C47">
        <w:t xml:space="preserve">moving post Covid </w:t>
      </w:r>
      <w:r>
        <w:t xml:space="preserve">year-to-date results to a </w:t>
      </w:r>
      <w:r w:rsidR="00067C47">
        <w:t xml:space="preserve">negative </w:t>
      </w:r>
      <w:r>
        <w:t>$2,</w:t>
      </w:r>
      <w:r w:rsidR="00067C47">
        <w:t>214</w:t>
      </w:r>
      <w:r>
        <w:t>,</w:t>
      </w:r>
      <w:r w:rsidR="00067C47">
        <w:t>608</w:t>
      </w:r>
      <w:r>
        <w:t xml:space="preserve"> (See Table 1).</w:t>
      </w:r>
    </w:p>
    <w:p w14:paraId="6DED7ED0" w14:textId="77777777" w:rsidR="00455891" w:rsidRDefault="00455891" w:rsidP="00455891"/>
    <w:p w14:paraId="4B26D658" w14:textId="53E30096" w:rsidR="00455891" w:rsidRDefault="00455891" w:rsidP="00455891">
      <w:r w:rsidRPr="00C3066C">
        <w:rPr>
          <w:b/>
          <w:u w:val="single"/>
        </w:rPr>
        <w:t>Capital Expenditures</w:t>
      </w:r>
      <w:r>
        <w:t xml:space="preserve"> for the month were $</w:t>
      </w:r>
      <w:r w:rsidR="009077D6">
        <w:t>40</w:t>
      </w:r>
      <w:r>
        <w:t>,</w:t>
      </w:r>
      <w:r w:rsidR="009077D6">
        <w:t>215</w:t>
      </w:r>
      <w:r>
        <w:t xml:space="preserve"> in support of </w:t>
      </w:r>
      <w:r w:rsidR="0070432E">
        <w:t xml:space="preserve">Bookstore </w:t>
      </w:r>
      <w:r>
        <w:t xml:space="preserve">A/C </w:t>
      </w:r>
      <w:r w:rsidR="0070432E">
        <w:t xml:space="preserve">and Front Doors along with Food POS upgrade. </w:t>
      </w:r>
      <w:r>
        <w:t xml:space="preserve">        </w:t>
      </w:r>
    </w:p>
    <w:p w14:paraId="2BF9BAEC" w14:textId="77777777" w:rsidR="00455891" w:rsidRDefault="00455891" w:rsidP="00455891"/>
    <w:p w14:paraId="2684B81E" w14:textId="55993451" w:rsidR="00455891" w:rsidRDefault="0070432E" w:rsidP="00455891">
      <w:r>
        <w:t xml:space="preserve">Reported </w:t>
      </w:r>
      <w:r w:rsidR="00455891">
        <w:t xml:space="preserve">Cash Flow </w:t>
      </w:r>
      <w:r>
        <w:t xml:space="preserve">was a negative $430,706 </w:t>
      </w:r>
      <w:r w:rsidR="00455891">
        <w:t xml:space="preserve">for the month </w:t>
      </w:r>
      <w:r>
        <w:t xml:space="preserve">inclusive of the G&amp;A adjustments.  Total year Cash flow ended up at a negative </w:t>
      </w:r>
      <w:r w:rsidR="00455891">
        <w:t>$1,</w:t>
      </w:r>
      <w:r>
        <w:t>608,073</w:t>
      </w:r>
      <w:r w:rsidR="00455891">
        <w:t xml:space="preserve"> (See Cash flow statement). </w:t>
      </w:r>
    </w:p>
    <w:p w14:paraId="4C981C35" w14:textId="77777777" w:rsidR="00455891" w:rsidRDefault="00455891" w:rsidP="00455891">
      <w:bookmarkStart w:id="0" w:name="_GoBack"/>
      <w:bookmarkEnd w:id="0"/>
    </w:p>
    <w:p w14:paraId="027EF7C5" w14:textId="77777777" w:rsidR="00455891" w:rsidRDefault="00455891" w:rsidP="00455891"/>
    <w:p w14:paraId="5BF4043A" w14:textId="77777777" w:rsidR="00455891" w:rsidRDefault="00455891" w:rsidP="00455891"/>
    <w:p w14:paraId="7418B275" w14:textId="0B419655" w:rsidR="00455891" w:rsidRDefault="00455891" w:rsidP="00455891"/>
    <w:p w14:paraId="6E30F4A5" w14:textId="77777777" w:rsidR="00B90498" w:rsidRDefault="00B90498" w:rsidP="00455891"/>
    <w:p w14:paraId="72832F08" w14:textId="77777777" w:rsidR="00455891" w:rsidRDefault="00455891" w:rsidP="00455891"/>
    <w:p w14:paraId="2DB041EA" w14:textId="308FF400" w:rsidR="00455891" w:rsidRDefault="008E7346" w:rsidP="00455891">
      <w:r w:rsidRPr="008E7346">
        <w:rPr>
          <w:noProof/>
        </w:rPr>
        <w:drawing>
          <wp:inline distT="0" distB="0" distL="0" distR="0" wp14:anchorId="7EC15958" wp14:editId="4F262828">
            <wp:extent cx="6220262" cy="4202012"/>
            <wp:effectExtent l="0" t="0" r="952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7" cy="42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7929" w14:textId="77777777" w:rsidR="00455891" w:rsidRDefault="00455891" w:rsidP="00455891">
      <w:r>
        <w:t>Table 1</w:t>
      </w:r>
    </w:p>
    <w:p w14:paraId="147DFADB" w14:textId="77777777" w:rsidR="00455891" w:rsidRDefault="00455891" w:rsidP="00455891"/>
    <w:p w14:paraId="400D58AF" w14:textId="77777777" w:rsidR="00455891" w:rsidRDefault="00455891" w:rsidP="00455891"/>
    <w:p w14:paraId="7368DB3C" w14:textId="77777777" w:rsidR="00455891" w:rsidRDefault="00455891" w:rsidP="00455891"/>
    <w:p w14:paraId="18AF7E2B" w14:textId="77777777" w:rsidR="00455891" w:rsidRDefault="00455891" w:rsidP="00455891"/>
    <w:p w14:paraId="1F87E45B" w14:textId="77777777" w:rsidR="00455891" w:rsidRDefault="00455891" w:rsidP="00455891"/>
    <w:p w14:paraId="3B503B65" w14:textId="77777777" w:rsidR="00455891" w:rsidRDefault="00455891" w:rsidP="00455891"/>
    <w:p w14:paraId="10035E59" w14:textId="77777777" w:rsidR="00455891" w:rsidRDefault="00455891" w:rsidP="00455891"/>
    <w:p w14:paraId="6C4728D6" w14:textId="77777777" w:rsidR="00455891" w:rsidRDefault="00455891" w:rsidP="00455891"/>
    <w:p w14:paraId="00F695E7" w14:textId="68ECEE68" w:rsidR="00455891" w:rsidRDefault="00455891" w:rsidP="00455891"/>
    <w:p w14:paraId="6482F1E8" w14:textId="3131643E" w:rsidR="00B90498" w:rsidRDefault="00B90498" w:rsidP="00455891"/>
    <w:p w14:paraId="4EDF591E" w14:textId="557AD2EC" w:rsidR="00B90498" w:rsidRDefault="00B90498" w:rsidP="00455891"/>
    <w:p w14:paraId="63FA9CEC" w14:textId="77777777" w:rsidR="00B90498" w:rsidRDefault="00B90498" w:rsidP="00455891"/>
    <w:p w14:paraId="0EE171A6" w14:textId="77777777" w:rsidR="00455891" w:rsidRDefault="00455891" w:rsidP="00455891"/>
    <w:p w14:paraId="79D19FA8" w14:textId="77777777" w:rsidR="00455891" w:rsidRDefault="00455891" w:rsidP="00455891"/>
    <w:p w14:paraId="79E6D7C4" w14:textId="21CF6D6E" w:rsidR="00455891" w:rsidRDefault="00455891" w:rsidP="00455891">
      <w:r>
        <w:lastRenderedPageBreak/>
        <w:t xml:space="preserve">Divisional results are depicted in the below tables 2 and 3 for both Budget and Prior Year comparisons.  Table 2 depicts the Divisional recap of June and Year-to-Date results.   As expected, June delivered a negative OI while actuarial adjustments </w:t>
      </w:r>
      <w:r w:rsidR="0070432E">
        <w:t xml:space="preserve">further impacted the </w:t>
      </w:r>
      <w:r>
        <w:t>bottom line</w:t>
      </w:r>
      <w:r w:rsidR="0070432E">
        <w:t xml:space="preserve"> contribution</w:t>
      </w:r>
      <w:r>
        <w:t xml:space="preserve">.  </w:t>
      </w:r>
    </w:p>
    <w:p w14:paraId="27F079CF" w14:textId="77777777" w:rsidR="00455891" w:rsidRDefault="00455891" w:rsidP="00455891"/>
    <w:p w14:paraId="4F7DBA90" w14:textId="0E708F51" w:rsidR="00455891" w:rsidRDefault="008E7346" w:rsidP="00455891">
      <w:r w:rsidRPr="008E7346">
        <w:rPr>
          <w:noProof/>
        </w:rPr>
        <w:drawing>
          <wp:inline distT="0" distB="0" distL="0" distR="0" wp14:anchorId="355AC516" wp14:editId="4D059289">
            <wp:extent cx="5715000" cy="24440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0147" w14:textId="77777777" w:rsidR="00455891" w:rsidRDefault="00455891" w:rsidP="00455891">
      <w:r>
        <w:t>Table 2</w:t>
      </w:r>
    </w:p>
    <w:p w14:paraId="151CC7E7" w14:textId="77777777" w:rsidR="00455891" w:rsidRDefault="00455891" w:rsidP="00455891"/>
    <w:p w14:paraId="0331B19A" w14:textId="77777777" w:rsidR="0070432E" w:rsidRDefault="00455891" w:rsidP="00455891">
      <w:r>
        <w:t xml:space="preserve">Compared to last year, June results trailed </w:t>
      </w:r>
      <w:r w:rsidR="0070432E">
        <w:t xml:space="preserve">in operating categories as expected with the shut down while investment gains were not enough to override the business shortfall. </w:t>
      </w:r>
    </w:p>
    <w:p w14:paraId="3C875FF1" w14:textId="77777777" w:rsidR="0070432E" w:rsidRDefault="0070432E" w:rsidP="00455891"/>
    <w:p w14:paraId="0C2DAADC" w14:textId="0833470B" w:rsidR="00455891" w:rsidRDefault="00455891" w:rsidP="00455891">
      <w:r>
        <w:t xml:space="preserve">Total year comparison highlights the </w:t>
      </w:r>
      <w:r w:rsidR="0070432E">
        <w:t>fourth quarter business shutdown</w:t>
      </w:r>
      <w:r w:rsidR="00B90498">
        <w:t xml:space="preserve"> as all areas were severely impacted.  </w:t>
      </w:r>
      <w:r>
        <w:t xml:space="preserve">(Table 3).  </w:t>
      </w:r>
    </w:p>
    <w:p w14:paraId="4F006767" w14:textId="77777777" w:rsidR="00455891" w:rsidRDefault="00455891" w:rsidP="00455891"/>
    <w:p w14:paraId="5D8BBE12" w14:textId="552C3DC0" w:rsidR="00455891" w:rsidRDefault="008E7346" w:rsidP="00455891">
      <w:r w:rsidRPr="008E7346">
        <w:rPr>
          <w:noProof/>
        </w:rPr>
        <w:drawing>
          <wp:inline distT="0" distB="0" distL="0" distR="0" wp14:anchorId="4E8D3A65" wp14:editId="6D131458">
            <wp:extent cx="5715000" cy="261740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B9A9" w14:textId="1B8F598D" w:rsidR="00455891" w:rsidRDefault="00455891" w:rsidP="005573C1">
      <w:r>
        <w:t>Table 3</w:t>
      </w:r>
    </w:p>
    <w:sectPr w:rsidR="00455891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55375B89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5B9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783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1c68f9e-8917-40a5-b1cf-2a84506a7b0d"/>
    <ds:schemaRef ds:uri="05557802-9e22-4343-89e6-23a870bb8b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F6A01-05FA-4A52-A479-EDD2F6FB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636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9</cp:revision>
  <cp:lastPrinted>2020-02-28T00:18:00Z</cp:lastPrinted>
  <dcterms:created xsi:type="dcterms:W3CDTF">2020-08-11T21:33:00Z</dcterms:created>
  <dcterms:modified xsi:type="dcterms:W3CDTF">2020-08-17T17:12:00Z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