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6D70B20A" w:rsidR="00FB6B09" w:rsidRDefault="00FB6B09" w:rsidP="00FB6B09">
      <w:r>
        <w:t>Date:</w:t>
      </w:r>
      <w:r>
        <w:tab/>
      </w:r>
      <w:r>
        <w:tab/>
      </w:r>
      <w:r w:rsidR="00490D82">
        <w:t>September 22</w:t>
      </w:r>
      <w:r w:rsidR="00864F1D">
        <w:t xml:space="preserve">, </w:t>
      </w:r>
      <w:r>
        <w:t>20</w:t>
      </w:r>
      <w:r w:rsidR="000A0952">
        <w:t>1</w:t>
      </w:r>
      <w:r w:rsidR="00A13E84">
        <w:t>9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8"/>
          <w:footerReference w:type="default" r:id="rId9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52B51CAB" w14:textId="7A6A21AD" w:rsidR="00B471B8" w:rsidRPr="00490D82" w:rsidRDefault="00B471B8" w:rsidP="00B471B8">
      <w:r w:rsidRPr="00490D82">
        <w:tab/>
      </w:r>
      <w:r w:rsidRPr="00490D82">
        <w:tab/>
      </w:r>
      <w:r w:rsidR="00E01272" w:rsidRPr="00490D82">
        <w:t>M</w:t>
      </w:r>
      <w:r w:rsidR="00490D82" w:rsidRPr="00490D82">
        <w:t>s</w:t>
      </w:r>
      <w:r w:rsidR="00E01272" w:rsidRPr="00490D82">
        <w:t xml:space="preserve">. </w:t>
      </w:r>
      <w:r w:rsidR="00490D82" w:rsidRPr="00490D82">
        <w:t>Reyalyn Villegas</w:t>
      </w:r>
    </w:p>
    <w:p w14:paraId="0919A511" w14:textId="67D68120" w:rsidR="001D3F1B" w:rsidRPr="00490D82" w:rsidRDefault="00490D82" w:rsidP="00FB6B09">
      <w:r w:rsidRPr="00490D82">
        <w:t>Dr. Wendy Reibodt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23A3E829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6278E3">
        <w:t>Ju</w:t>
      </w:r>
      <w:r w:rsidR="00490D82">
        <w:t>ly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4FBC1DB7" w14:textId="77777777" w:rsidR="00521599" w:rsidRDefault="00521599" w:rsidP="00521599"/>
    <w:p w14:paraId="7ECCC2F4" w14:textId="62BB8011" w:rsidR="00521599" w:rsidRDefault="00490D82" w:rsidP="00521599">
      <w:r>
        <w:t>T</w:t>
      </w:r>
      <w:r w:rsidR="00521599">
        <w:t xml:space="preserve">ypically a negative and low volume month due to minimal campus activity, July results came in </w:t>
      </w:r>
      <w:r>
        <w:t xml:space="preserve">below plan but within expectations. </w:t>
      </w:r>
      <w:r w:rsidR="00521599">
        <w:t xml:space="preserve">    </w:t>
      </w:r>
    </w:p>
    <w:p w14:paraId="106003CE" w14:textId="77777777" w:rsidR="00521599" w:rsidRDefault="00521599" w:rsidP="00521599"/>
    <w:p w14:paraId="4E7E9E5F" w14:textId="36199139" w:rsidR="00521599" w:rsidRDefault="00521599" w:rsidP="00521599">
      <w:r w:rsidRPr="00C165DD">
        <w:t xml:space="preserve">Sales </w:t>
      </w:r>
      <w:r>
        <w:t>came in at $1,</w:t>
      </w:r>
      <w:r w:rsidR="00490D82">
        <w:t>506,911</w:t>
      </w:r>
      <w:r>
        <w:t xml:space="preserve"> and $</w:t>
      </w:r>
      <w:r w:rsidR="00490D82">
        <w:t>133,924</w:t>
      </w:r>
      <w:r>
        <w:t xml:space="preserve"> (</w:t>
      </w:r>
      <w:r w:rsidR="00490D82">
        <w:t>8.2</w:t>
      </w:r>
      <w:r>
        <w:t xml:space="preserve">%) </w:t>
      </w:r>
      <w:r w:rsidR="00490D82">
        <w:t>below budget. Bookstore traffic was a little light while summer programs for</w:t>
      </w:r>
      <w:r>
        <w:t xml:space="preserve"> Residence Halls</w:t>
      </w:r>
      <w:r w:rsidR="009C6470">
        <w:t xml:space="preserve"> brought in outside groups as anticipated</w:t>
      </w:r>
      <w:r>
        <w:t xml:space="preserve">.   All other activity was minimal as expected heading into the summer. </w:t>
      </w:r>
    </w:p>
    <w:p w14:paraId="6A8E869D" w14:textId="77777777" w:rsidR="00521599" w:rsidRDefault="00521599" w:rsidP="00521599"/>
    <w:p w14:paraId="78CF28A5" w14:textId="2B081E43" w:rsidR="00521599" w:rsidRDefault="00521599" w:rsidP="00521599">
      <w:r>
        <w:t xml:space="preserve">Gross Margin was </w:t>
      </w:r>
      <w:r w:rsidR="009C6470">
        <w:t>un</w:t>
      </w:r>
      <w:r>
        <w:t xml:space="preserve">favorable in terms of volume </w:t>
      </w:r>
      <w:r w:rsidR="009C6470">
        <w:t>and 4</w:t>
      </w:r>
      <w:r>
        <w:t xml:space="preserve"> points below plan given the </w:t>
      </w:r>
      <w:r w:rsidR="009C6470">
        <w:t xml:space="preserve">below optimum business volume in general. </w:t>
      </w:r>
      <w:r>
        <w:t xml:space="preserve">   </w:t>
      </w:r>
    </w:p>
    <w:p w14:paraId="3E574C8F" w14:textId="77777777" w:rsidR="00521599" w:rsidRDefault="00521599" w:rsidP="00521599"/>
    <w:p w14:paraId="3620E54A" w14:textId="17738145" w:rsidR="00521599" w:rsidRDefault="00521599" w:rsidP="00521599">
      <w:r>
        <w:t xml:space="preserve">Operating expenses </w:t>
      </w:r>
      <w:r w:rsidR="009C6470">
        <w:t xml:space="preserve">were in line as reduced staffing </w:t>
      </w:r>
      <w:r>
        <w:t xml:space="preserve">benefitted labor expenditures </w:t>
      </w:r>
      <w:r w:rsidR="009C6470">
        <w:t xml:space="preserve">while </w:t>
      </w:r>
      <w:r>
        <w:t xml:space="preserve">fall recruiting efforts </w:t>
      </w:r>
      <w:r w:rsidR="009C6470">
        <w:t xml:space="preserve">and planning expenditures </w:t>
      </w:r>
      <w:r w:rsidR="00C74323">
        <w:t xml:space="preserve">are running at minimum. </w:t>
      </w:r>
      <w:r>
        <w:t xml:space="preserve"> In addition, G&amp;A came in below plan </w:t>
      </w:r>
      <w:r w:rsidR="00C74323">
        <w:t xml:space="preserve">primarily due to payment timing differences of planned events and campus donations. </w:t>
      </w:r>
      <w:r>
        <w:t xml:space="preserve"> </w:t>
      </w:r>
    </w:p>
    <w:p w14:paraId="27090B78" w14:textId="77777777" w:rsidR="00521599" w:rsidRDefault="00521599" w:rsidP="00521599"/>
    <w:p w14:paraId="2109CE4A" w14:textId="56C99E64" w:rsidR="00521599" w:rsidRDefault="00521599" w:rsidP="00521599">
      <w:r>
        <w:t xml:space="preserve">The financial markets </w:t>
      </w:r>
      <w:r w:rsidR="00C74323">
        <w:t xml:space="preserve">remained volatile but </w:t>
      </w:r>
      <w:r>
        <w:t>saw a</w:t>
      </w:r>
      <w:r w:rsidR="00C74323">
        <w:t xml:space="preserve"> mild upswing for the month</w:t>
      </w:r>
      <w:r>
        <w:t xml:space="preserve"> resulting in a net investment gain of</w:t>
      </w:r>
      <w:r w:rsidR="00C74323">
        <w:t xml:space="preserve"> $45K</w:t>
      </w:r>
      <w:r>
        <w:t>. As a result, July realized a negative net contribution of ($</w:t>
      </w:r>
      <w:r w:rsidR="00025380">
        <w:t>740</w:t>
      </w:r>
      <w:r>
        <w:t>,</w:t>
      </w:r>
      <w:r w:rsidR="00025380">
        <w:t>406</w:t>
      </w:r>
      <w:r>
        <w:t>) compared to a budget of negative ($</w:t>
      </w:r>
      <w:r w:rsidR="00025380">
        <w:t>768,922</w:t>
      </w:r>
      <w:r>
        <w:t>).  (See Table 1)</w:t>
      </w:r>
    </w:p>
    <w:p w14:paraId="103BC29B" w14:textId="77777777" w:rsidR="00521599" w:rsidRDefault="00521599" w:rsidP="00521599"/>
    <w:p w14:paraId="5FA55FFD" w14:textId="3FC71445" w:rsidR="00521599" w:rsidRDefault="00521599" w:rsidP="00521599">
      <w:r>
        <w:t xml:space="preserve">Capital expenditures for the month were </w:t>
      </w:r>
      <w:r w:rsidR="00D90048">
        <w:t xml:space="preserve">just </w:t>
      </w:r>
      <w:r>
        <w:t>$</w:t>
      </w:r>
      <w:r w:rsidR="00D90048">
        <w:t>17,969</w:t>
      </w:r>
      <w:r>
        <w:t xml:space="preserve"> in support of </w:t>
      </w:r>
      <w:r w:rsidR="00D90048">
        <w:t xml:space="preserve">UDP renovation that got underway. </w:t>
      </w:r>
      <w:r>
        <w:t>In addition, there was a $</w:t>
      </w:r>
      <w:r w:rsidR="00D90048">
        <w:t xml:space="preserve">425,857 </w:t>
      </w:r>
      <w:r>
        <w:t>cash outlay to PERS for annual payment of the unfunded liability per Actuarial requirement.  This did not affect the Operating Statement but is noted in the Cash Flow statement.  As a result, this along with the above operating results netted a negative cash flow of ($</w:t>
      </w:r>
      <w:r w:rsidR="00D90048">
        <w:t>1,093,617)</w:t>
      </w:r>
      <w:r>
        <w:t xml:space="preserve"> for the month.    </w:t>
      </w:r>
    </w:p>
    <w:p w14:paraId="66606924" w14:textId="77777777" w:rsidR="00521599" w:rsidRDefault="00521599" w:rsidP="00521599"/>
    <w:p w14:paraId="1BAE6A10" w14:textId="77777777" w:rsidR="00521599" w:rsidRDefault="00521599" w:rsidP="00521599"/>
    <w:p w14:paraId="70FCDD63" w14:textId="77777777" w:rsidR="00BB4A25" w:rsidRDefault="00BB4A25" w:rsidP="00521599"/>
    <w:p w14:paraId="701FC6F5" w14:textId="77777777" w:rsidR="00BB4A25" w:rsidRDefault="00BB4A25" w:rsidP="00521599"/>
    <w:p w14:paraId="184DE70C" w14:textId="77777777" w:rsidR="00BB4A25" w:rsidRDefault="00BB4A25" w:rsidP="00521599"/>
    <w:p w14:paraId="0D27B571" w14:textId="60CC4A5E" w:rsidR="00521599" w:rsidRDefault="00521599" w:rsidP="00521599">
      <w:r>
        <w:t>Tables 1 &amp; 2 below depict the Operating Statement summary and the corresponding divisional breakdown.</w:t>
      </w:r>
    </w:p>
    <w:p w14:paraId="47686A6B" w14:textId="77777777" w:rsidR="00521599" w:rsidRDefault="00521599" w:rsidP="00521599"/>
    <w:p w14:paraId="0BC777D2" w14:textId="45AFB1D1" w:rsidR="00521599" w:rsidRDefault="00521599" w:rsidP="00521599">
      <w:r w:rsidRPr="00521599">
        <w:drawing>
          <wp:inline distT="0" distB="0" distL="0" distR="0" wp14:anchorId="0D364C91" wp14:editId="31379E71">
            <wp:extent cx="6591185" cy="206271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04" cy="20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6ACF" w14:textId="77777777" w:rsidR="00521599" w:rsidRDefault="00521599" w:rsidP="00521599">
      <w:r>
        <w:t>Table 1</w:t>
      </w:r>
      <w:bookmarkStart w:id="0" w:name="_GoBack"/>
      <w:bookmarkEnd w:id="0"/>
    </w:p>
    <w:p w14:paraId="54AA77E4" w14:textId="77777777" w:rsidR="00521599" w:rsidRDefault="00521599" w:rsidP="00521599"/>
    <w:p w14:paraId="2AC646DD" w14:textId="03A939DF" w:rsidR="00521599" w:rsidRDefault="00521599" w:rsidP="00521599">
      <w:r w:rsidRPr="00521599">
        <w:drawing>
          <wp:inline distT="0" distB="0" distL="0" distR="0" wp14:anchorId="06187AC1" wp14:editId="42619B87">
            <wp:extent cx="6653410" cy="138223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69" cy="13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4861" w14:textId="77777777" w:rsidR="00521599" w:rsidRDefault="00521599" w:rsidP="00521599">
      <w:r>
        <w:t>Table 2</w:t>
      </w:r>
    </w:p>
    <w:p w14:paraId="7A7A7EA3" w14:textId="77777777" w:rsidR="00521599" w:rsidRDefault="00521599" w:rsidP="00521599"/>
    <w:p w14:paraId="48592568" w14:textId="77777777" w:rsidR="00521599" w:rsidRDefault="00521599" w:rsidP="00521599">
      <w:r>
        <w:t xml:space="preserve">Comparison to prior year (Table 3) revealed a sales improvement but slight reduction in bottom line performance skewed by low margin Computer Store sales.   </w:t>
      </w:r>
    </w:p>
    <w:p w14:paraId="1EFCD9BB" w14:textId="77777777" w:rsidR="00521599" w:rsidRDefault="00521599" w:rsidP="00521599"/>
    <w:p w14:paraId="65399154" w14:textId="02D3AE6B" w:rsidR="00521599" w:rsidRDefault="00521599" w:rsidP="00521599">
      <w:r w:rsidRPr="00521599">
        <w:drawing>
          <wp:inline distT="0" distB="0" distL="0" distR="0" wp14:anchorId="12F6CE68" wp14:editId="04D2B2F8">
            <wp:extent cx="6737231" cy="1488558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58" cy="150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3EC5" w14:textId="77777777" w:rsidR="00521599" w:rsidRDefault="00521599" w:rsidP="00521599">
      <w:r>
        <w:t>Table 2</w:t>
      </w:r>
    </w:p>
    <w:p w14:paraId="392FE6B0" w14:textId="77777777" w:rsidR="00521599" w:rsidRDefault="00521599" w:rsidP="006278E3"/>
    <w:p w14:paraId="2AB4F65B" w14:textId="77777777" w:rsidR="00521599" w:rsidRDefault="00521599" w:rsidP="006278E3"/>
    <w:sectPr w:rsidR="00521599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1275E091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08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DB3"/>
    <w:rsid w:val="000040A3"/>
    <w:rsid w:val="00004C45"/>
    <w:rsid w:val="00005A39"/>
    <w:rsid w:val="00010B5F"/>
    <w:rsid w:val="00010F28"/>
    <w:rsid w:val="00011207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6D8"/>
    <w:rsid w:val="001D19E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6381"/>
    <w:rsid w:val="002F65CA"/>
    <w:rsid w:val="002F7405"/>
    <w:rsid w:val="002F7C4A"/>
    <w:rsid w:val="002F7C63"/>
    <w:rsid w:val="00301BB3"/>
    <w:rsid w:val="003027F9"/>
    <w:rsid w:val="00302985"/>
    <w:rsid w:val="00302DBB"/>
    <w:rsid w:val="00302F3E"/>
    <w:rsid w:val="00302F88"/>
    <w:rsid w:val="003031C3"/>
    <w:rsid w:val="00304477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B91"/>
    <w:rsid w:val="003814AF"/>
    <w:rsid w:val="00381D82"/>
    <w:rsid w:val="00383098"/>
    <w:rsid w:val="00383750"/>
    <w:rsid w:val="00383D78"/>
    <w:rsid w:val="0038580B"/>
    <w:rsid w:val="00386F6D"/>
    <w:rsid w:val="003901B7"/>
    <w:rsid w:val="00390397"/>
    <w:rsid w:val="00390E56"/>
    <w:rsid w:val="0039122B"/>
    <w:rsid w:val="00391AF8"/>
    <w:rsid w:val="00391FD0"/>
    <w:rsid w:val="00392015"/>
    <w:rsid w:val="0039473D"/>
    <w:rsid w:val="0039478C"/>
    <w:rsid w:val="00395CB1"/>
    <w:rsid w:val="003975DE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E0C"/>
    <w:rsid w:val="003E4178"/>
    <w:rsid w:val="003E6435"/>
    <w:rsid w:val="003E654F"/>
    <w:rsid w:val="003E6970"/>
    <w:rsid w:val="003E703D"/>
    <w:rsid w:val="003F0270"/>
    <w:rsid w:val="003F0408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1C32"/>
    <w:rsid w:val="005D296A"/>
    <w:rsid w:val="005D5200"/>
    <w:rsid w:val="005D6532"/>
    <w:rsid w:val="005D6540"/>
    <w:rsid w:val="005D7541"/>
    <w:rsid w:val="005D77F0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8E3"/>
    <w:rsid w:val="00627ACC"/>
    <w:rsid w:val="00630E73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81534"/>
    <w:rsid w:val="007822EB"/>
    <w:rsid w:val="00782B71"/>
    <w:rsid w:val="00791057"/>
    <w:rsid w:val="00791284"/>
    <w:rsid w:val="00793138"/>
    <w:rsid w:val="007932A9"/>
    <w:rsid w:val="00793B1B"/>
    <w:rsid w:val="00795E26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8008AE"/>
    <w:rsid w:val="00801313"/>
    <w:rsid w:val="0080199D"/>
    <w:rsid w:val="00802BA4"/>
    <w:rsid w:val="008039BA"/>
    <w:rsid w:val="00803A28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EA7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BB5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310C"/>
    <w:rsid w:val="009B36E2"/>
    <w:rsid w:val="009B4452"/>
    <w:rsid w:val="009B45BC"/>
    <w:rsid w:val="009B5AE4"/>
    <w:rsid w:val="009B6FA1"/>
    <w:rsid w:val="009B7BD7"/>
    <w:rsid w:val="009B7C6F"/>
    <w:rsid w:val="009C2ED1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4598"/>
    <w:rsid w:val="00A4493D"/>
    <w:rsid w:val="00A44C67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BA3"/>
    <w:rsid w:val="00BC05BC"/>
    <w:rsid w:val="00BC0625"/>
    <w:rsid w:val="00BC14D1"/>
    <w:rsid w:val="00BC1987"/>
    <w:rsid w:val="00BC2D68"/>
    <w:rsid w:val="00BC39C1"/>
    <w:rsid w:val="00BC4114"/>
    <w:rsid w:val="00BC4E02"/>
    <w:rsid w:val="00BC4E7A"/>
    <w:rsid w:val="00BC525B"/>
    <w:rsid w:val="00BC5518"/>
    <w:rsid w:val="00BC60E0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3C53"/>
    <w:rsid w:val="00C641A2"/>
    <w:rsid w:val="00C64376"/>
    <w:rsid w:val="00C64A9A"/>
    <w:rsid w:val="00C659C1"/>
    <w:rsid w:val="00C66B3F"/>
    <w:rsid w:val="00C66E3F"/>
    <w:rsid w:val="00C67532"/>
    <w:rsid w:val="00C67B1C"/>
    <w:rsid w:val="00C70264"/>
    <w:rsid w:val="00C7056A"/>
    <w:rsid w:val="00C72CC5"/>
    <w:rsid w:val="00C74323"/>
    <w:rsid w:val="00C74E45"/>
    <w:rsid w:val="00C76CDE"/>
    <w:rsid w:val="00C77B96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68F"/>
    <w:rsid w:val="00CD1D55"/>
    <w:rsid w:val="00CD1EC4"/>
    <w:rsid w:val="00CD1F66"/>
    <w:rsid w:val="00CD34D3"/>
    <w:rsid w:val="00CE069B"/>
    <w:rsid w:val="00CE12B0"/>
    <w:rsid w:val="00CE2755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5007"/>
    <w:rsid w:val="00D45770"/>
    <w:rsid w:val="00D45A43"/>
    <w:rsid w:val="00D45F4E"/>
    <w:rsid w:val="00D45FDF"/>
    <w:rsid w:val="00D51F0B"/>
    <w:rsid w:val="00D51FAC"/>
    <w:rsid w:val="00D5355D"/>
    <w:rsid w:val="00D5426A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5085"/>
    <w:rsid w:val="00E160E8"/>
    <w:rsid w:val="00E175D5"/>
    <w:rsid w:val="00E17CC4"/>
    <w:rsid w:val="00E24F0A"/>
    <w:rsid w:val="00E253B4"/>
    <w:rsid w:val="00E25824"/>
    <w:rsid w:val="00E25B8E"/>
    <w:rsid w:val="00E25D7A"/>
    <w:rsid w:val="00E26705"/>
    <w:rsid w:val="00E27F32"/>
    <w:rsid w:val="00E30166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6422"/>
    <w:rsid w:val="00E5668E"/>
    <w:rsid w:val="00E56B4A"/>
    <w:rsid w:val="00E57255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6212"/>
    <w:rsid w:val="00F262B7"/>
    <w:rsid w:val="00F276F1"/>
    <w:rsid w:val="00F27BD8"/>
    <w:rsid w:val="00F27E99"/>
    <w:rsid w:val="00F30531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21A6"/>
    <w:rsid w:val="00F923C7"/>
    <w:rsid w:val="00F92C64"/>
    <w:rsid w:val="00F93277"/>
    <w:rsid w:val="00F93591"/>
    <w:rsid w:val="00F93F96"/>
    <w:rsid w:val="00F94258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C661-7BB9-4EB5-8740-516856D1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2</Pages>
  <Words>314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36</cp:revision>
  <cp:lastPrinted>2019-06-20T23:21:00Z</cp:lastPrinted>
  <dcterms:created xsi:type="dcterms:W3CDTF">2019-05-23T21:27:00Z</dcterms:created>
  <dcterms:modified xsi:type="dcterms:W3CDTF">2019-09-20T16:58:00Z</dcterms:modified>
</cp:coreProperties>
</file>