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218FD366" w:rsidR="00BC3E62" w:rsidRDefault="00BC3E62" w:rsidP="00BC3E62">
      <w:r>
        <w:t>Date:</w:t>
      </w:r>
      <w:r>
        <w:tab/>
      </w:r>
      <w:r>
        <w:tab/>
      </w:r>
      <w:r w:rsidR="003F1BBF">
        <w:t>May 17</w:t>
      </w:r>
      <w:r w:rsidR="007C63A8">
        <w:t>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755625F9" w:rsidR="00BC3E6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04FBBE37" w14:textId="4E4B474D" w:rsidR="008939F3" w:rsidRPr="00490D82" w:rsidRDefault="008939F3" w:rsidP="008939F3">
      <w:pPr>
        <w:ind w:left="720" w:firstLine="720"/>
      </w:pPr>
      <w:r>
        <w:t>Ms. Tracey Richardson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58AC88C4" w14:textId="4DE318F9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 w:rsidR="003F1BBF">
        <w:t>April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</w:p>
    <w:p w14:paraId="54060EE4" w14:textId="345647D8" w:rsidR="0094282E" w:rsidRDefault="0094282E" w:rsidP="00027122"/>
    <w:p w14:paraId="78D7FE2C" w14:textId="56558EB1" w:rsidR="00C72158" w:rsidRDefault="003F1BBF" w:rsidP="0035705F">
      <w:r>
        <w:t>April</w:t>
      </w:r>
      <w:r w:rsidR="0035705F">
        <w:t xml:space="preserve"> results </w:t>
      </w:r>
      <w:r w:rsidR="00C72158">
        <w:t xml:space="preserve">were mixed but net results </w:t>
      </w:r>
      <w:r w:rsidR="00582490">
        <w:t xml:space="preserve">came in </w:t>
      </w:r>
      <w:r w:rsidR="00C72158">
        <w:t>better than plan as investment gains continued to remain positive.</w:t>
      </w:r>
    </w:p>
    <w:p w14:paraId="5A859714" w14:textId="77777777" w:rsidR="00C72158" w:rsidRDefault="00C72158" w:rsidP="0035705F"/>
    <w:p w14:paraId="5645AE76" w14:textId="78955AFA" w:rsidR="00582490" w:rsidRDefault="004C3613" w:rsidP="0035705F">
      <w:r>
        <w:t>Overall Sales came in at $</w:t>
      </w:r>
      <w:r w:rsidR="00C72158">
        <w:t xml:space="preserve">1,038,673 </w:t>
      </w:r>
      <w:r>
        <w:t xml:space="preserve">and </w:t>
      </w:r>
      <w:r w:rsidR="0080238E">
        <w:t>$</w:t>
      </w:r>
      <w:r w:rsidR="00C72158">
        <w:t>356,398</w:t>
      </w:r>
      <w:r w:rsidR="00265C74">
        <w:t xml:space="preserve"> </w:t>
      </w:r>
      <w:r>
        <w:t>(</w:t>
      </w:r>
      <w:r w:rsidR="00C72158">
        <w:t>25.5</w:t>
      </w:r>
      <w:r>
        <w:t>%) below budget</w:t>
      </w:r>
      <w:r w:rsidR="00C72158">
        <w:t xml:space="preserve"> which was driven by anticip</w:t>
      </w:r>
      <w:r w:rsidR="00582490">
        <w:t xml:space="preserve">ated Residential Dining volumes that have been missing all year. </w:t>
      </w:r>
      <w:r w:rsidR="00C72158">
        <w:t xml:space="preserve"> On the positive side Bookstore sales exceeded budget as Retail and Computer sales fared better than plan and showing signs of recovery. Computer Store sales accounted for $403,</w:t>
      </w:r>
      <w:r w:rsidR="00582490">
        <w:t>2</w:t>
      </w:r>
      <w:r w:rsidR="00C72158">
        <w:t xml:space="preserve">27 while </w:t>
      </w:r>
      <w:r w:rsidR="00582490">
        <w:t>non-text book sales contributed another $412,815.  On the food side the Great Plates program brought in another $60,316 in sales.</w:t>
      </w:r>
    </w:p>
    <w:p w14:paraId="2EE15703" w14:textId="77777777" w:rsidR="00582490" w:rsidRDefault="00582490" w:rsidP="0035705F"/>
    <w:p w14:paraId="6193458C" w14:textId="495EA00B" w:rsidR="00183DD2" w:rsidRDefault="00265C74" w:rsidP="0035705F">
      <w:r>
        <w:t xml:space="preserve">Gross </w:t>
      </w:r>
      <w:r w:rsidR="00C43463">
        <w:t xml:space="preserve">Margins </w:t>
      </w:r>
      <w:r w:rsidR="00582490">
        <w:t xml:space="preserve">continued to run </w:t>
      </w:r>
      <w:r>
        <w:t>below plan</w:t>
      </w:r>
      <w:r w:rsidR="00183DD2">
        <w:t xml:space="preserve"> </w:t>
      </w:r>
      <w:r w:rsidR="00582490">
        <w:t xml:space="preserve">as 40% of </w:t>
      </w:r>
      <w:r w:rsidR="00183DD2">
        <w:t xml:space="preserve">sales </w:t>
      </w:r>
      <w:r w:rsidR="00582490">
        <w:t xml:space="preserve">were attributed to </w:t>
      </w:r>
      <w:r w:rsidR="00183DD2">
        <w:t xml:space="preserve">low margin computer products that skews the overall margin rate. </w:t>
      </w:r>
    </w:p>
    <w:p w14:paraId="7A95E322" w14:textId="77777777" w:rsidR="00183DD2" w:rsidRDefault="00183DD2" w:rsidP="0035705F"/>
    <w:p w14:paraId="603D1797" w14:textId="77777777" w:rsidR="00582490" w:rsidRDefault="007F08AA" w:rsidP="0035705F">
      <w:r w:rsidRPr="006D58EE">
        <w:t xml:space="preserve">Operating Expenses </w:t>
      </w:r>
      <w:r w:rsidR="00582490">
        <w:t xml:space="preserve">remained </w:t>
      </w:r>
      <w:r w:rsidR="00FF526E">
        <w:t xml:space="preserve">lower as expected </w:t>
      </w:r>
      <w:r w:rsidR="00582490">
        <w:t xml:space="preserve">with </w:t>
      </w:r>
      <w:r w:rsidR="00FF526E">
        <w:t xml:space="preserve">reduced staffing and </w:t>
      </w:r>
      <w:r w:rsidR="00582490">
        <w:t>services in place.</w:t>
      </w:r>
    </w:p>
    <w:p w14:paraId="1747D9EF" w14:textId="5392FC3A" w:rsidR="0035705F" w:rsidRDefault="00183DD2" w:rsidP="0035705F">
      <w:r>
        <w:t>Monthly e</w:t>
      </w:r>
      <w:r w:rsidR="00FF526E">
        <w:t xml:space="preserve">xpenses </w:t>
      </w:r>
      <w:r>
        <w:t xml:space="preserve">remained steady at </w:t>
      </w:r>
      <w:r w:rsidR="007F08AA" w:rsidRPr="006D58EE">
        <w:t>$</w:t>
      </w:r>
      <w:r>
        <w:t>6</w:t>
      </w:r>
      <w:r w:rsidR="00582490">
        <w:t xml:space="preserve">72,522 </w:t>
      </w:r>
      <w:r>
        <w:t xml:space="preserve">20,951 </w:t>
      </w:r>
      <w:r w:rsidR="00FF526E">
        <w:t xml:space="preserve">and </w:t>
      </w:r>
      <w:r w:rsidR="00297BD2">
        <w:t>$</w:t>
      </w:r>
      <w:r>
        <w:t>295,907</w:t>
      </w:r>
      <w:r w:rsidR="00FF526E">
        <w:t xml:space="preserve"> </w:t>
      </w:r>
      <w:r w:rsidR="00297BD2">
        <w:t>(3</w:t>
      </w:r>
      <w:r>
        <w:t>2</w:t>
      </w:r>
      <w:r w:rsidR="00FD2727">
        <w:t>.</w:t>
      </w:r>
      <w:r>
        <w:t>3</w:t>
      </w:r>
      <w:r w:rsidR="00297BD2">
        <w:t>%) favorable to budget</w:t>
      </w:r>
      <w:r w:rsidR="00FF526E">
        <w:t xml:space="preserve">. </w:t>
      </w:r>
      <w:r w:rsidR="007F08AA" w:rsidRPr="00012B73">
        <w:t xml:space="preserve">Credits &amp; Revenues </w:t>
      </w:r>
      <w:r w:rsidR="007F08AA">
        <w:t>came in</w:t>
      </w:r>
      <w:r w:rsidR="00FF526E">
        <w:t xml:space="preserve"> </w:t>
      </w:r>
      <w:r w:rsidR="000037D0">
        <w:t xml:space="preserve">below </w:t>
      </w:r>
      <w:r>
        <w:t xml:space="preserve">budget at </w:t>
      </w:r>
      <w:r w:rsidR="00FF526E">
        <w:t>$</w:t>
      </w:r>
      <w:r w:rsidR="000037D0">
        <w:t xml:space="preserve">9,389 as Dining Commissions will not materialize for the spring semester as planned. </w:t>
      </w:r>
      <w:r w:rsidR="0035705F" w:rsidRPr="00EF408C">
        <w:t xml:space="preserve">The above resulted in Operating Income of </w:t>
      </w:r>
      <w:r w:rsidR="00E00ADF">
        <w:t>negative ($</w:t>
      </w:r>
      <w:r w:rsidR="000037D0">
        <w:t>268,039</w:t>
      </w:r>
      <w:r w:rsidR="00E00ADF">
        <w:t>) and $</w:t>
      </w:r>
      <w:r w:rsidR="000037D0">
        <w:t>4,596</w:t>
      </w:r>
      <w:r w:rsidR="005A4C6C">
        <w:t xml:space="preserve"> </w:t>
      </w:r>
      <w:r w:rsidR="00E00ADF">
        <w:t>below</w:t>
      </w:r>
      <w:r w:rsidR="0035705F">
        <w:t xml:space="preserve"> </w:t>
      </w:r>
      <w:r w:rsidR="0035705F" w:rsidRPr="00EF408C">
        <w:t>budget.</w:t>
      </w:r>
      <w:r w:rsidR="0035705F">
        <w:t xml:space="preserve"> </w:t>
      </w:r>
    </w:p>
    <w:p w14:paraId="3A807134" w14:textId="77777777" w:rsidR="0035705F" w:rsidRDefault="0035705F" w:rsidP="0035705F"/>
    <w:p w14:paraId="6C83A763" w14:textId="72C19191" w:rsidR="0035705F" w:rsidRDefault="0035705F" w:rsidP="0035705F">
      <w:r w:rsidRPr="00EF408C">
        <w:t xml:space="preserve">G&amp;A expense </w:t>
      </w:r>
      <w:r>
        <w:t xml:space="preserve">continues to run below plan </w:t>
      </w:r>
      <w:r w:rsidR="005A4C6C">
        <w:t xml:space="preserve">with steady but minimal </w:t>
      </w:r>
      <w:r>
        <w:t xml:space="preserve">staffing </w:t>
      </w:r>
      <w:r w:rsidR="005A4C6C">
        <w:t xml:space="preserve">throughout </w:t>
      </w:r>
      <w:r w:rsidR="00E00ADF">
        <w:t>while investment</w:t>
      </w:r>
      <w:r w:rsidR="00F41C1E">
        <w:t xml:space="preserve"> re</w:t>
      </w:r>
      <w:r w:rsidR="005A4C6C">
        <w:t>sults</w:t>
      </w:r>
      <w:r w:rsidR="000037D0">
        <w:t xml:space="preserve"> returned a tidy sum of $344,907 for</w:t>
      </w:r>
      <w:r w:rsidR="00F41C1E">
        <w:t xml:space="preserve"> the month. </w:t>
      </w:r>
      <w:r w:rsidR="00E00ADF">
        <w:t xml:space="preserve"> </w:t>
      </w:r>
      <w:r w:rsidR="000037D0">
        <w:t xml:space="preserve">There were no capital expenditures for the month resulting in an overall negative cash flow of $77,419 for the month.  </w:t>
      </w:r>
      <w:r>
        <w:t xml:space="preserve">  </w:t>
      </w:r>
    </w:p>
    <w:p w14:paraId="48DB7683" w14:textId="5AB7CC1F" w:rsidR="003F1BBF" w:rsidRDefault="003F1BBF" w:rsidP="003F1BBF"/>
    <w:p w14:paraId="2989C70F" w14:textId="0867757C" w:rsidR="00371A34" w:rsidRDefault="00371A34" w:rsidP="0035705F"/>
    <w:p w14:paraId="4556B094" w14:textId="77777777" w:rsidR="00371A34" w:rsidRDefault="00371A34" w:rsidP="0035705F"/>
    <w:p w14:paraId="715262C0" w14:textId="790E0B77" w:rsidR="00027122" w:rsidRDefault="00027122" w:rsidP="00027122">
      <w:r>
        <w:lastRenderedPageBreak/>
        <w:t xml:space="preserve">Table 1 below highlights the </w:t>
      </w:r>
      <w:r w:rsidR="003F1BBF">
        <w:t>April</w:t>
      </w:r>
      <w:r>
        <w:t xml:space="preserve"> and Year-to-Date Operating Statement summary while table 2 provides the corresponding divisional breakdown. </w:t>
      </w:r>
    </w:p>
    <w:p w14:paraId="69D2B8F8" w14:textId="77777777" w:rsidR="001F222C" w:rsidRDefault="001F222C" w:rsidP="00027122"/>
    <w:p w14:paraId="18132D93" w14:textId="61C7BDC7" w:rsidR="009D5D88" w:rsidRDefault="003F1BBF" w:rsidP="00027122">
      <w:r w:rsidRPr="003F1BBF">
        <w:drawing>
          <wp:inline distT="0" distB="0" distL="0" distR="0" wp14:anchorId="6DA9E725" wp14:editId="0B135C10">
            <wp:extent cx="5433237" cy="3706788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783" cy="371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F84191" w14:textId="77777777" w:rsidR="00027122" w:rsidRDefault="00027122" w:rsidP="00027122">
      <w:r>
        <w:t>Table 1</w:t>
      </w:r>
    </w:p>
    <w:p w14:paraId="6215DCBF" w14:textId="77777777" w:rsidR="00027122" w:rsidRDefault="00027122" w:rsidP="00027122"/>
    <w:p w14:paraId="7BC272C9" w14:textId="639736DD" w:rsidR="00027122" w:rsidRDefault="003F1BBF" w:rsidP="00027122">
      <w:r w:rsidRPr="003F1BBF">
        <w:drawing>
          <wp:inline distT="0" distB="0" distL="0" distR="0" wp14:anchorId="14BA940C" wp14:editId="2E17D645">
            <wp:extent cx="6161209" cy="28282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063" cy="283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7C55" w14:textId="77777777" w:rsidR="00027122" w:rsidRDefault="00027122" w:rsidP="00027122">
      <w:r>
        <w:t>Table 2</w:t>
      </w:r>
    </w:p>
    <w:p w14:paraId="5BF64BDC" w14:textId="1815B738" w:rsidR="00027122" w:rsidRDefault="00027122" w:rsidP="00027122">
      <w:r>
        <w:lastRenderedPageBreak/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that revealed a </w:t>
      </w:r>
      <w:r w:rsidR="00E90658">
        <w:t xml:space="preserve">positive </w:t>
      </w:r>
      <w:r w:rsidR="006D2A8D">
        <w:t xml:space="preserve"> </w:t>
      </w:r>
      <w:r>
        <w:t xml:space="preserve"> sales </w:t>
      </w:r>
      <w:r w:rsidR="00E90658">
        <w:t xml:space="preserve">comparison with the first full </w:t>
      </w:r>
      <w:r w:rsidR="00B434A1">
        <w:t xml:space="preserve">covid pandemic </w:t>
      </w:r>
      <w:r w:rsidR="00E90658">
        <w:t xml:space="preserve">month </w:t>
      </w:r>
      <w:r w:rsidR="00B434A1">
        <w:t>that started mid-</w:t>
      </w:r>
      <w:r w:rsidR="003F1BBF">
        <w:t>April</w:t>
      </w:r>
      <w:r w:rsidR="00B434A1">
        <w:t xml:space="preserve"> of last year. </w:t>
      </w:r>
    </w:p>
    <w:p w14:paraId="2401FC97" w14:textId="25E01E3F" w:rsidR="00D037C5" w:rsidRDefault="00D037C5" w:rsidP="00027122"/>
    <w:p w14:paraId="21F52D95" w14:textId="6B0DFEEC" w:rsidR="00D037C5" w:rsidRDefault="0092692B" w:rsidP="00027122">
      <w:r w:rsidRPr="0092692B">
        <w:drawing>
          <wp:inline distT="0" distB="0" distL="0" distR="0" wp14:anchorId="6FC66FE2" wp14:editId="3BC090BD">
            <wp:extent cx="5156791" cy="3541915"/>
            <wp:effectExtent l="0" t="0" r="635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379" cy="355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31C2595B" w:rsidR="00027122" w:rsidRDefault="0092692B" w:rsidP="00027122">
      <w:r w:rsidRPr="0092692B">
        <w:drawing>
          <wp:inline distT="0" distB="0" distL="0" distR="0" wp14:anchorId="26A02148" wp14:editId="2419CF28">
            <wp:extent cx="6118262" cy="3009014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49" cy="30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11A22F77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45D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C7C6-D23D-4C36-BE8E-4582D90738D7}">
  <ds:schemaRefs>
    <ds:schemaRef ds:uri="b1c68f9e-8917-40a5-b1cf-2a84506a7b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5557802-9e22-4343-89e6-23a870bb8b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5EF68-DF39-443F-861E-4A3C1A18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29</cp:revision>
  <cp:lastPrinted>2021-02-17T23:50:00Z</cp:lastPrinted>
  <dcterms:created xsi:type="dcterms:W3CDTF">2021-01-15T20:30:00Z</dcterms:created>
  <dcterms:modified xsi:type="dcterms:W3CDTF">2021-05-17T23:56:00Z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