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86"/>
        <w:gridCol w:w="4537"/>
        <w:gridCol w:w="4036"/>
      </w:tblGrid>
      <w:tr>
        <w:trPr>
          <w:trHeight w:val="1024" w:hRule="atLeast"/>
        </w:trPr>
        <w:tc>
          <w:tcPr>
            <w:tcW w:w="1186" w:type="dxa"/>
          </w:tcPr>
          <w:p>
            <w:pPr>
              <w:pStyle w:val="TableParagraph"/>
              <w:ind w:left="200"/>
              <w:rPr>
                <w:b/>
                <w:sz w:val="24"/>
              </w:rPr>
            </w:pPr>
            <w:r>
              <w:rPr>
                <w:b/>
                <w:sz w:val="24"/>
              </w:rPr>
              <w:t>California</w:t>
            </w:r>
          </w:p>
        </w:tc>
        <w:tc>
          <w:tcPr>
            <w:tcW w:w="4537" w:type="dxa"/>
          </w:tcPr>
          <w:p>
            <w:pPr>
              <w:pStyle w:val="TableParagraph"/>
              <w:ind w:left="27"/>
              <w:rPr>
                <w:b/>
                <w:sz w:val="24"/>
              </w:rPr>
            </w:pPr>
            <w:r>
              <w:rPr>
                <w:b/>
                <w:sz w:val="24"/>
              </w:rPr>
              <w:t>State University, Long Beach</w:t>
            </w:r>
          </w:p>
        </w:tc>
        <w:tc>
          <w:tcPr>
            <w:tcW w:w="4036" w:type="dxa"/>
          </w:tcPr>
          <w:p>
            <w:pPr>
              <w:pStyle w:val="TableParagraph"/>
              <w:ind w:left="1726" w:right="147" w:hanging="50"/>
              <w:rPr>
                <w:sz w:val="24"/>
              </w:rPr>
            </w:pPr>
            <w:r>
              <w:rPr>
                <w:b/>
                <w:sz w:val="24"/>
              </w:rPr>
              <w:t>Policy Statement </w:t>
            </w:r>
            <w:r>
              <w:rPr>
                <w:w w:val="95"/>
                <w:sz w:val="24"/>
              </w:rPr>
              <w:t>Policy Number: 18-­‐03 </w:t>
            </w:r>
            <w:r>
              <w:rPr>
                <w:sz w:val="24"/>
              </w:rPr>
              <w:t>Date: March 13, 2018</w:t>
            </w:r>
          </w:p>
        </w:tc>
      </w:tr>
      <w:tr>
        <w:trPr>
          <w:trHeight w:val="439" w:hRule="atLeast"/>
        </w:trPr>
        <w:tc>
          <w:tcPr>
            <w:tcW w:w="1186" w:type="dxa"/>
          </w:tcPr>
          <w:p>
            <w:pPr>
              <w:pStyle w:val="TableParagraph"/>
              <w:rPr>
                <w:rFonts w:ascii="Times New Roman"/>
                <w:sz w:val="24"/>
              </w:rPr>
            </w:pPr>
          </w:p>
        </w:tc>
        <w:tc>
          <w:tcPr>
            <w:tcW w:w="8573" w:type="dxa"/>
            <w:gridSpan w:val="2"/>
          </w:tcPr>
          <w:p>
            <w:pPr>
              <w:pStyle w:val="TableParagraph"/>
              <w:spacing w:line="273" w:lineRule="exact" w:before="146"/>
              <w:ind w:left="1465"/>
              <w:rPr>
                <w:b/>
                <w:sz w:val="24"/>
              </w:rPr>
            </w:pPr>
            <w:r>
              <w:rPr>
                <w:b/>
                <w:sz w:val="24"/>
              </w:rPr>
              <w:t>POLICY ON GRADUATE STUDIES 700 (GS 700)</w:t>
            </w:r>
          </w:p>
        </w:tc>
      </w:tr>
    </w:tbl>
    <w:p>
      <w:pPr>
        <w:pStyle w:val="BodyText"/>
        <w:spacing w:before="8"/>
        <w:rPr>
          <w:rFonts w:ascii="Times New Roman"/>
          <w:sz w:val="16"/>
        </w:rPr>
      </w:pPr>
    </w:p>
    <w:p>
      <w:pPr>
        <w:pStyle w:val="BodyText"/>
        <w:spacing w:before="100"/>
        <w:ind w:left="2630"/>
      </w:pPr>
      <w:r>
        <w:rPr/>
        <w:pict>
          <v:line style="position:absolute;mso-position-horizontal-relative:page;mso-position-vertical-relative:paragraph;z-index:-2368" from="72pt,-69.854202pt" to="516.48pt,-69.854202pt" stroked="true" strokeweight=".24pt" strokecolor="#000000">
            <v:stroke dashstyle="solid"/>
            <w10:wrap type="none"/>
          </v:line>
        </w:pict>
      </w:r>
      <w:r>
        <w:rPr>
          <w:spacing w:val="-1"/>
        </w:rPr>
        <w:t>(Thi</w:t>
      </w:r>
      <w:r>
        <w:rPr/>
        <w:t>s </w:t>
      </w:r>
      <w:r>
        <w:rPr>
          <w:spacing w:val="-1"/>
        </w:rPr>
        <w:t>polic</w:t>
      </w:r>
      <w:r>
        <w:rPr/>
        <w:t>y </w:t>
      </w:r>
      <w:r>
        <w:rPr>
          <w:spacing w:val="-1"/>
        </w:rPr>
        <w:t>supersede</w:t>
      </w:r>
      <w:r>
        <w:rPr/>
        <w:t>s Policy</w:t>
      </w:r>
      <w:r>
        <w:rPr>
          <w:spacing w:val="-1"/>
        </w:rPr>
        <w:t> Statemen</w:t>
      </w:r>
      <w:r>
        <w:rPr/>
        <w:t>t</w:t>
      </w:r>
      <w:r>
        <w:rPr>
          <w:spacing w:val="-1"/>
        </w:rPr>
        <w:t> </w:t>
      </w:r>
      <w:r>
        <w:rPr/>
        <w:t>0</w:t>
      </w:r>
      <w:r>
        <w:rPr>
          <w:spacing w:val="-1"/>
        </w:rPr>
        <w:t>5</w:t>
      </w:r>
      <w:r>
        <w:rPr>
          <w:w w:val="33"/>
        </w:rPr>
        <w:t>-­</w:t>
      </w:r>
      <w:r>
        <w:rPr>
          <w:spacing w:val="-1"/>
          <w:w w:val="33"/>
        </w:rPr>
        <w:t>‐</w:t>
      </w:r>
      <w:r>
        <w:rPr>
          <w:spacing w:val="-1"/>
        </w:rPr>
        <w:t>08</w:t>
      </w:r>
      <w:r>
        <w:rPr/>
        <w:t>.)</w:t>
      </w:r>
    </w:p>
    <w:p>
      <w:pPr>
        <w:pStyle w:val="BodyText"/>
        <w:ind w:left="1222" w:right="1241"/>
        <w:jc w:val="center"/>
      </w:pPr>
      <w:r>
        <w:rPr>
          <w:spacing w:val="-1"/>
        </w:rPr>
        <w:t>Thi</w:t>
      </w:r>
      <w:r>
        <w:rPr/>
        <w:t>s </w:t>
      </w:r>
      <w:r>
        <w:rPr>
          <w:spacing w:val="-1"/>
        </w:rPr>
        <w:t>polic</w:t>
      </w:r>
      <w:r>
        <w:rPr/>
        <w:t>y </w:t>
      </w:r>
      <w:r>
        <w:rPr>
          <w:spacing w:val="-1"/>
        </w:rPr>
        <w:t>statemen</w:t>
      </w:r>
      <w:r>
        <w:rPr/>
        <w:t>t</w:t>
      </w:r>
      <w:r>
        <w:rPr>
          <w:spacing w:val="-1"/>
        </w:rPr>
        <w:t> </w:t>
      </w:r>
      <w:r>
        <w:rPr/>
        <w:t>was recommended</w:t>
      </w:r>
      <w:r>
        <w:rPr>
          <w:spacing w:val="-1"/>
        </w:rPr>
        <w:t> b</w:t>
      </w:r>
      <w:r>
        <w:rPr/>
        <w:t>y the</w:t>
      </w:r>
      <w:r>
        <w:rPr>
          <w:spacing w:val="-1"/>
        </w:rPr>
        <w:t> </w:t>
      </w:r>
      <w:r>
        <w:rPr/>
        <w:t>Academic</w:t>
      </w:r>
      <w:r>
        <w:rPr>
          <w:spacing w:val="-1"/>
        </w:rPr>
        <w:t> Senat</w:t>
      </w:r>
      <w:r>
        <w:rPr/>
        <w:t>e </w:t>
      </w:r>
      <w:r>
        <w:rPr>
          <w:spacing w:val="-1"/>
        </w:rPr>
        <w:t>o</w:t>
      </w:r>
      <w:r>
        <w:rPr/>
        <w:t>n </w:t>
      </w:r>
      <w:r>
        <w:rPr>
          <w:w w:val="57"/>
        </w:rPr>
        <w:t>2-­‐</w:t>
      </w:r>
      <w:r>
        <w:rPr>
          <w:spacing w:val="-1"/>
        </w:rPr>
        <w:t>15</w:t>
      </w:r>
      <w:r>
        <w:rPr>
          <w:w w:val="33"/>
        </w:rPr>
        <w:t>-­</w:t>
      </w:r>
      <w:r>
        <w:rPr>
          <w:spacing w:val="-1"/>
          <w:w w:val="33"/>
        </w:rPr>
        <w:t>‐</w:t>
      </w:r>
      <w:r>
        <w:rPr>
          <w:spacing w:val="-1"/>
        </w:rPr>
        <w:t>18 </w:t>
      </w:r>
      <w:r>
        <w:rPr/>
        <w:t>and approved</w:t>
      </w:r>
      <w:r>
        <w:rPr>
          <w:spacing w:val="-1"/>
        </w:rPr>
        <w:t> b</w:t>
      </w:r>
      <w:r>
        <w:rPr/>
        <w:t>y the</w:t>
      </w:r>
      <w:r>
        <w:rPr>
          <w:spacing w:val="-1"/>
        </w:rPr>
        <w:t> </w:t>
      </w:r>
      <w:r>
        <w:rPr/>
        <w:t>President </w:t>
      </w:r>
      <w:r>
        <w:rPr>
          <w:spacing w:val="-1"/>
        </w:rPr>
        <w:t>o</w:t>
      </w:r>
      <w:r>
        <w:rPr/>
        <w:t>n</w:t>
      </w:r>
      <w:r>
        <w:rPr>
          <w:spacing w:val="-2"/>
        </w:rPr>
        <w:t> </w:t>
      </w:r>
      <w:r>
        <w:rPr>
          <w:w w:val="57"/>
        </w:rPr>
        <w:t>2-­‐</w:t>
      </w:r>
      <w:r>
        <w:rPr>
          <w:spacing w:val="-1"/>
        </w:rPr>
        <w:t>27</w:t>
      </w:r>
      <w:r>
        <w:rPr>
          <w:w w:val="33"/>
        </w:rPr>
        <w:t>-­</w:t>
      </w:r>
      <w:r>
        <w:rPr>
          <w:spacing w:val="-1"/>
          <w:w w:val="33"/>
        </w:rPr>
        <w:t>‐</w:t>
      </w:r>
      <w:r>
        <w:rPr>
          <w:spacing w:val="-1"/>
        </w:rPr>
        <w:t>18.</w:t>
      </w:r>
    </w:p>
    <w:p>
      <w:pPr>
        <w:pStyle w:val="BodyText"/>
        <w:spacing w:before="12"/>
        <w:rPr>
          <w:sz w:val="23"/>
        </w:rPr>
      </w:pPr>
    </w:p>
    <w:p>
      <w:pPr>
        <w:pStyle w:val="BodyText"/>
        <w:ind w:left="299" w:right="344"/>
      </w:pPr>
      <w:r>
        <w:rPr/>
        <w:t>Every semester, graduate students must be registered in a course or in GS 700 or have an approved educational leave. Registration in GS 700 is restricted to graduate students who have completed all course work and have been advanced to candidacy. Registration in a course or in GS 700 is also required in winter or summer session if that is when a student plans to submit their thesis and graduate. Registration in GS 700 is CR/NC only. Registration in winter or summer session is not required if the thesis was submitted to the Thesis and Dissertation Office by the fall or spring deadline and if the student is required to complete only thesis formatting edits after submission. Although no unit credit is added to the student’s program or transcript, GS 700 is considered as one unit of concurrent enrollment credit for fee payment purposes, payable online or in person by the published fee payment deadline. Registration for GS 700 constitutes enrollment in the university, including for scholarship eligibility purposes.</w:t>
      </w:r>
    </w:p>
    <w:p>
      <w:pPr>
        <w:pStyle w:val="BodyText"/>
        <w:spacing w:before="2"/>
      </w:pPr>
    </w:p>
    <w:p>
      <w:pPr>
        <w:pStyle w:val="BodyText"/>
        <w:spacing w:before="1"/>
        <w:ind w:left="299" w:right="319"/>
      </w:pPr>
      <w:r>
        <w:rPr/>
        <w:t>Graduate student enrollment in GS 700 must be approved by department graduate advisors or chairs, or, when they are not available, the Associate Dean or Graduate Director for the College. After registering for four semesters of GS 700, students will be subject to a registration hold.</w:t>
      </w:r>
    </w:p>
    <w:p>
      <w:pPr>
        <w:pStyle w:val="BodyText"/>
        <w:ind w:left="299" w:right="403"/>
      </w:pPr>
      <w:r>
        <w:rPr/>
        <w:t>Prior to registering for any subsequent semester of GS 700, the department graduate advisor must confer with the student and with the Associate Dean or Graduate Director for the College about an appropriate course of action for the graduate student. Colleges/departments may establish a stricter timeline for when students will be subject to a registration hold. Such a timeline must be published.</w:t>
      </w:r>
    </w:p>
    <w:p>
      <w:pPr>
        <w:pStyle w:val="BodyText"/>
        <w:spacing w:before="10"/>
        <w:rPr>
          <w:sz w:val="23"/>
        </w:rPr>
      </w:pPr>
    </w:p>
    <w:p>
      <w:pPr>
        <w:pStyle w:val="BodyText"/>
        <w:ind w:left="299" w:right="301"/>
      </w:pPr>
      <w:r>
        <w:rPr/>
        <w:t>Decisions on registration in GS 700 may be appealed to the Associate Dean of the College and, if still unresolved, to the Vice Provost for Academic Programs and Dean of Graduate Studies.</w:t>
      </w:r>
    </w:p>
    <w:p>
      <w:pPr>
        <w:pStyle w:val="BodyText"/>
        <w:rPr>
          <w:sz w:val="20"/>
        </w:rPr>
      </w:pPr>
    </w:p>
    <w:p>
      <w:pPr>
        <w:pStyle w:val="BodyText"/>
        <w:spacing w:before="9"/>
        <w:rPr>
          <w:sz w:val="21"/>
        </w:rPr>
      </w:pPr>
      <w:r>
        <w:rPr/>
        <w:pict>
          <v:line style="position:absolute;mso-position-horizontal-relative:page;mso-position-vertical-relative:paragraph;z-index:0;mso-wrap-distance-left:0;mso-wrap-distance-right:0" from="72.006302pt,15.622989pt" to="538.134324pt,15.622989pt" stroked="true" strokeweight=".77925pt" strokecolor="#000000">
            <v:stroke dashstyle="solid"/>
            <w10:wrap type="topAndBottom"/>
          </v:line>
        </w:pict>
      </w:r>
    </w:p>
    <w:p>
      <w:pPr>
        <w:pStyle w:val="BodyText"/>
        <w:spacing w:before="4"/>
        <w:rPr>
          <w:sz w:val="23"/>
        </w:rPr>
      </w:pPr>
    </w:p>
    <w:p>
      <w:pPr>
        <w:spacing w:before="0"/>
        <w:ind w:left="300" w:right="0" w:firstLine="0"/>
        <w:jc w:val="left"/>
        <w:rPr>
          <w:b/>
          <w:sz w:val="24"/>
        </w:rPr>
      </w:pPr>
      <w:r>
        <w:rPr>
          <w:b/>
          <w:sz w:val="24"/>
        </w:rPr>
        <w:t>EFFECTIVE: Immediately</w:t>
      </w:r>
    </w:p>
    <w:sectPr>
      <w:type w:val="continuous"/>
      <w:pgSz w:w="12240" w:h="15840"/>
      <w:pgMar w:top="1440" w:bottom="280" w:left="114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4"/>
      <w:szCs w:val="24"/>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- 18-03.docx</dc:title>
  <dcterms:created xsi:type="dcterms:W3CDTF">2019-02-11T22:56:07Z</dcterms:created>
  <dcterms:modified xsi:type="dcterms:W3CDTF">2019-02-11T22:56:07Z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Creator">
    <vt:lpwstr>Word</vt:lpwstr>
  </property>
  <property fmtid="{D5CDD505-2E9C-101B-9397-08002B2CF9AE}" pid="4" name="LastSaved">
    <vt:filetime>2019-02-11T00:00:00Z</vt:filetime>
  </property>
</Properties>
</file>