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3F72" w14:textId="77777777" w:rsidR="00955E42" w:rsidRDefault="00955E42" w:rsidP="00C238FE">
      <w:pPr>
        <w:rPr>
          <w:b/>
          <w:bCs/>
        </w:rPr>
      </w:pPr>
    </w:p>
    <w:p w14:paraId="310F544E" w14:textId="0F9C36D5" w:rsidR="00C238FE" w:rsidRPr="00C238FE" w:rsidRDefault="00222FDE" w:rsidP="00955E42">
      <w:pPr>
        <w:jc w:val="center"/>
        <w:rPr>
          <w:b/>
          <w:bCs/>
        </w:rPr>
      </w:pPr>
      <w:r>
        <w:rPr>
          <w:b/>
          <w:bCs/>
        </w:rPr>
        <w:t>Guidelines</w:t>
      </w:r>
      <w:r w:rsidR="00C238FE" w:rsidRPr="00C238FE">
        <w:rPr>
          <w:b/>
          <w:bCs/>
        </w:rPr>
        <w:t xml:space="preserve"> for Outside Visitors and Minors in Engineering Laboratories</w:t>
      </w:r>
    </w:p>
    <w:p w14:paraId="34220B07" w14:textId="3857485F" w:rsidR="00C238FE" w:rsidRPr="00C238FE" w:rsidRDefault="00C238FE" w:rsidP="00C238FE">
      <w:r w:rsidRPr="00C238FE">
        <w:br/>
      </w:r>
      <w:r w:rsidRPr="00C238FE">
        <w:rPr>
          <w:b/>
          <w:bCs/>
        </w:rPr>
        <w:t>Responsible Office:</w:t>
      </w:r>
      <w:r w:rsidRPr="00C238FE">
        <w:t xml:space="preserve"> College of Engineering </w:t>
      </w:r>
      <w:r w:rsidRPr="00C238FE">
        <w:br/>
      </w:r>
      <w:r w:rsidRPr="00C238FE">
        <w:rPr>
          <w:b/>
          <w:bCs/>
        </w:rPr>
        <w:t>Applies To:</w:t>
      </w:r>
      <w:r w:rsidRPr="00C238FE">
        <w:t xml:space="preserve"> All engineering laboratories, shops, makerspaces, and research facilities</w:t>
      </w:r>
    </w:p>
    <w:p w14:paraId="190DEB74" w14:textId="57B11442" w:rsidR="00C238FE" w:rsidRPr="00C238FE" w:rsidRDefault="00C238FE" w:rsidP="00C238FE"/>
    <w:p w14:paraId="460E87CC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1. Purpose</w:t>
      </w:r>
    </w:p>
    <w:p w14:paraId="367C81F7" w14:textId="77777777" w:rsidR="00C238FE" w:rsidRPr="00C238FE" w:rsidRDefault="00C238FE" w:rsidP="00C238FE">
      <w:r w:rsidRPr="00C238FE">
        <w:t xml:space="preserve">This policy establishes requirements and controls for </w:t>
      </w:r>
      <w:r w:rsidRPr="00153DB8">
        <w:t>outside visitors</w:t>
      </w:r>
      <w:r w:rsidRPr="00C238FE">
        <w:t xml:space="preserve"> (non</w:t>
      </w:r>
      <w:r w:rsidRPr="00C238FE">
        <w:noBreakHyphen/>
        <w:t>students and non</w:t>
      </w:r>
      <w:r w:rsidRPr="00C238FE">
        <w:noBreakHyphen/>
        <w:t xml:space="preserve">faculty) and </w:t>
      </w:r>
      <w:r w:rsidRPr="00153DB8">
        <w:t>minors</w:t>
      </w:r>
      <w:r w:rsidRPr="00C238FE">
        <w:t xml:space="preserve"> who access College of Engineering laboratories to observe, learn, or participate in approved projects. The policy is intended to:</w:t>
      </w:r>
    </w:p>
    <w:p w14:paraId="6192A6F0" w14:textId="77777777" w:rsidR="00C238FE" w:rsidRPr="00C238FE" w:rsidRDefault="00C238FE" w:rsidP="00C238FE">
      <w:pPr>
        <w:numPr>
          <w:ilvl w:val="0"/>
          <w:numId w:val="1"/>
        </w:numPr>
      </w:pPr>
      <w:r w:rsidRPr="00C238FE">
        <w:t xml:space="preserve">Protect the </w:t>
      </w:r>
      <w:r w:rsidRPr="00153DB8">
        <w:t>health, safety, and welfare</w:t>
      </w:r>
      <w:r w:rsidRPr="00C238FE">
        <w:t xml:space="preserve"> of all participants</w:t>
      </w:r>
    </w:p>
    <w:p w14:paraId="521B2698" w14:textId="77777777" w:rsidR="00C238FE" w:rsidRPr="00C238FE" w:rsidRDefault="00C238FE" w:rsidP="00C238FE">
      <w:pPr>
        <w:numPr>
          <w:ilvl w:val="0"/>
          <w:numId w:val="1"/>
        </w:numPr>
      </w:pPr>
      <w:r w:rsidRPr="00C238FE">
        <w:t>Minimize risk to university personnel, facilities, and equipment</w:t>
      </w:r>
    </w:p>
    <w:p w14:paraId="76A47426" w14:textId="77777777" w:rsidR="00C238FE" w:rsidRPr="00C238FE" w:rsidRDefault="00C238FE" w:rsidP="00C238FE">
      <w:pPr>
        <w:numPr>
          <w:ilvl w:val="0"/>
          <w:numId w:val="1"/>
        </w:numPr>
      </w:pPr>
      <w:r w:rsidRPr="00C238FE">
        <w:t>Ensure regulatory compliance and institutional accountability</w:t>
      </w:r>
    </w:p>
    <w:p w14:paraId="1E08DB54" w14:textId="3F6300C4" w:rsidR="00C238FE" w:rsidRPr="00C238FE" w:rsidRDefault="00C238FE" w:rsidP="00C238FE"/>
    <w:p w14:paraId="54D2F35D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2. Definitions</w:t>
      </w:r>
    </w:p>
    <w:p w14:paraId="3BCF2C6C" w14:textId="77777777" w:rsidR="00C238FE" w:rsidRPr="00C238FE" w:rsidRDefault="00C238FE" w:rsidP="00C238FE">
      <w:pPr>
        <w:numPr>
          <w:ilvl w:val="0"/>
          <w:numId w:val="2"/>
        </w:numPr>
      </w:pPr>
      <w:r w:rsidRPr="00C238FE">
        <w:rPr>
          <w:b/>
          <w:bCs/>
        </w:rPr>
        <w:t>Outside Visitor:</w:t>
      </w:r>
      <w:r w:rsidRPr="00C238FE">
        <w:t xml:space="preserve"> Any individual who is not a currently enrolled student, appointed faculty member, or paid university employee (e.g., industry collaborators, alumni, volunteers, visiting scholars without appointments).</w:t>
      </w:r>
    </w:p>
    <w:p w14:paraId="15E80BD2" w14:textId="251EC459" w:rsidR="00C238FE" w:rsidRPr="00C238FE" w:rsidRDefault="00C238FE" w:rsidP="00C238FE">
      <w:pPr>
        <w:numPr>
          <w:ilvl w:val="0"/>
          <w:numId w:val="2"/>
        </w:numPr>
      </w:pPr>
      <w:r w:rsidRPr="00C238FE">
        <w:rPr>
          <w:b/>
          <w:bCs/>
        </w:rPr>
        <w:t>Minor</w:t>
      </w:r>
      <w:r w:rsidR="00153DB8">
        <w:rPr>
          <w:b/>
          <w:bCs/>
        </w:rPr>
        <w:t xml:space="preserve"> Visitor</w:t>
      </w:r>
      <w:r w:rsidRPr="00C238FE">
        <w:rPr>
          <w:b/>
          <w:bCs/>
        </w:rPr>
        <w:t>:</w:t>
      </w:r>
      <w:r w:rsidRPr="00C238FE">
        <w:t xml:space="preserve"> Any person under the age of 18 who is not enrolled as a matriculated college student.</w:t>
      </w:r>
    </w:p>
    <w:p w14:paraId="021A2FF0" w14:textId="77777777" w:rsidR="00C238FE" w:rsidRPr="00C238FE" w:rsidRDefault="00C238FE" w:rsidP="00C238FE">
      <w:pPr>
        <w:numPr>
          <w:ilvl w:val="0"/>
          <w:numId w:val="2"/>
        </w:numPr>
      </w:pPr>
      <w:r w:rsidRPr="00C238FE">
        <w:rPr>
          <w:b/>
          <w:bCs/>
        </w:rPr>
        <w:t>Lab Sponsor:</w:t>
      </w:r>
      <w:r w:rsidRPr="00C238FE">
        <w:t xml:space="preserve"> A faculty member or designated staff member responsible for the visitor/minor during lab access.</w:t>
      </w:r>
    </w:p>
    <w:p w14:paraId="41ADC9F4" w14:textId="77777777" w:rsidR="00C238FE" w:rsidRPr="00C238FE" w:rsidRDefault="00C238FE" w:rsidP="00C238FE">
      <w:pPr>
        <w:numPr>
          <w:ilvl w:val="0"/>
          <w:numId w:val="2"/>
        </w:numPr>
      </w:pPr>
      <w:r w:rsidRPr="00C238FE">
        <w:rPr>
          <w:b/>
          <w:bCs/>
        </w:rPr>
        <w:t>Restricted Lab:</w:t>
      </w:r>
      <w:r w:rsidRPr="00C238FE">
        <w:t xml:space="preserve"> Any lab containing hazardous materials, energized equipment, high</w:t>
      </w:r>
      <w:r w:rsidRPr="00C238FE">
        <w:noBreakHyphen/>
        <w:t>temperature systems, radiation sources, biohazards, or machine tools.</w:t>
      </w:r>
    </w:p>
    <w:p w14:paraId="43295F39" w14:textId="54214268" w:rsidR="00C238FE" w:rsidRPr="00C238FE" w:rsidRDefault="00C238FE" w:rsidP="00C238FE"/>
    <w:p w14:paraId="099E29D9" w14:textId="77777777" w:rsidR="00955E42" w:rsidRDefault="00955E42" w:rsidP="00C238FE">
      <w:pPr>
        <w:rPr>
          <w:b/>
          <w:bCs/>
        </w:rPr>
      </w:pPr>
    </w:p>
    <w:p w14:paraId="18D076CE" w14:textId="77777777" w:rsidR="00955E42" w:rsidRDefault="00955E42" w:rsidP="00C238FE">
      <w:pPr>
        <w:rPr>
          <w:b/>
          <w:bCs/>
        </w:rPr>
      </w:pPr>
    </w:p>
    <w:p w14:paraId="2536E66D" w14:textId="13B81A2A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lastRenderedPageBreak/>
        <w:t>3. General Policy Statement</w:t>
      </w:r>
    </w:p>
    <w:p w14:paraId="46329979" w14:textId="399BC5BE" w:rsidR="00C238FE" w:rsidRDefault="00C238FE" w:rsidP="00D554C9">
      <w:pPr>
        <w:spacing w:line="300" w:lineRule="atLeast"/>
      </w:pPr>
      <w:r w:rsidRPr="00C238FE">
        <w:t xml:space="preserve">Access to engineering laboratories by outside visitors and minors is </w:t>
      </w:r>
      <w:r w:rsidRPr="00D44737">
        <w:t>by exception only,</w:t>
      </w:r>
      <w:r w:rsidRPr="00C238FE">
        <w:t xml:space="preserve"> requires </w:t>
      </w:r>
      <w:r w:rsidRPr="00B25C43">
        <w:t>prior written approval</w:t>
      </w:r>
      <w:r w:rsidRPr="00C238FE">
        <w:t xml:space="preserve">, and must be </w:t>
      </w:r>
      <w:r w:rsidRPr="00B25C43">
        <w:t>continuously supervised</w:t>
      </w:r>
      <w:r w:rsidRPr="00C238FE">
        <w:t xml:space="preserve"> by an authorized Lab Sponsor.</w:t>
      </w:r>
      <w:r w:rsidR="00D52B94">
        <w:t xml:space="preserve">  </w:t>
      </w:r>
      <w:r w:rsidR="00D554C9" w:rsidRPr="00D554C9">
        <w:t>All request forms must be completed and submitted no later than four (4) weeks prior to the scheduled arrival of visitors on campus.</w:t>
      </w:r>
      <w:r w:rsidR="00083469">
        <w:t xml:space="preserve">  </w:t>
      </w:r>
      <w:r w:rsidR="00886FB6">
        <w:t xml:space="preserve">The visitor request forms </w:t>
      </w:r>
      <w:r w:rsidR="00A52001">
        <w:t xml:space="preserve">are available on the CSULB COE website </w:t>
      </w:r>
    </w:p>
    <w:p w14:paraId="7970666F" w14:textId="0E6BD1A3" w:rsidR="00D554C9" w:rsidRPr="00C238FE" w:rsidRDefault="00833B3E" w:rsidP="00D554C9">
      <w:pPr>
        <w:spacing w:line="300" w:lineRule="atLeast"/>
      </w:pPr>
      <w:r>
        <w:t xml:space="preserve"> </w:t>
      </w:r>
    </w:p>
    <w:p w14:paraId="1E368170" w14:textId="77777777" w:rsidR="00C238FE" w:rsidRPr="00C238FE" w:rsidRDefault="00C238FE" w:rsidP="00C238FE">
      <w:r w:rsidRPr="00C238FE">
        <w:t>No visitor or minor may access laboratories independently or perform unsupervised work.</w:t>
      </w:r>
    </w:p>
    <w:p w14:paraId="2C106E4B" w14:textId="106A837F" w:rsidR="00C238FE" w:rsidRPr="00C238FE" w:rsidRDefault="00C238FE" w:rsidP="00C238FE"/>
    <w:p w14:paraId="0D640D77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4. Eligibility &amp; Approval Requirements</w:t>
      </w:r>
    </w:p>
    <w:p w14:paraId="52653604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4.1 Outside Visitors (Adults ≥18)</w:t>
      </w:r>
    </w:p>
    <w:p w14:paraId="0FD6229B" w14:textId="706BAFB2" w:rsidR="00C238FE" w:rsidRPr="00C238FE" w:rsidRDefault="00C238FE" w:rsidP="00C238FE">
      <w:r w:rsidRPr="00C238FE">
        <w:t xml:space="preserve">Outside visitors may be permitted access if </w:t>
      </w:r>
      <w:r w:rsidR="00955E42" w:rsidRPr="00C238FE">
        <w:t>all</w:t>
      </w:r>
      <w:r w:rsidRPr="00C238FE">
        <w:t xml:space="preserve"> the following conditions are met:</w:t>
      </w:r>
    </w:p>
    <w:p w14:paraId="24FA3E0C" w14:textId="77777777" w:rsidR="00C238FE" w:rsidRPr="00C238FE" w:rsidRDefault="00C238FE" w:rsidP="00C238FE">
      <w:pPr>
        <w:numPr>
          <w:ilvl w:val="0"/>
          <w:numId w:val="3"/>
        </w:numPr>
      </w:pPr>
      <w:r w:rsidRPr="00C238FE">
        <w:rPr>
          <w:b/>
          <w:bCs/>
        </w:rPr>
        <w:t>Sponsorship</w:t>
      </w:r>
    </w:p>
    <w:p w14:paraId="2F2B0C81" w14:textId="77777777" w:rsidR="00C238FE" w:rsidRPr="00C238FE" w:rsidRDefault="00C238FE" w:rsidP="00C238FE">
      <w:pPr>
        <w:numPr>
          <w:ilvl w:val="1"/>
          <w:numId w:val="3"/>
        </w:numPr>
      </w:pPr>
      <w:r w:rsidRPr="00C238FE">
        <w:t>A faculty or authorized staff member agrees in writing to serve as Lab Sponsor.</w:t>
      </w:r>
    </w:p>
    <w:p w14:paraId="218B88E8" w14:textId="77777777" w:rsidR="00C238FE" w:rsidRPr="00C238FE" w:rsidRDefault="00C238FE" w:rsidP="00C238FE">
      <w:pPr>
        <w:numPr>
          <w:ilvl w:val="0"/>
          <w:numId w:val="3"/>
        </w:numPr>
      </w:pPr>
      <w:r w:rsidRPr="00C238FE">
        <w:rPr>
          <w:b/>
          <w:bCs/>
        </w:rPr>
        <w:t>Scope of Work</w:t>
      </w:r>
    </w:p>
    <w:p w14:paraId="010FF02C" w14:textId="77777777" w:rsidR="00C238FE" w:rsidRPr="00C238FE" w:rsidRDefault="00C238FE" w:rsidP="00C238FE">
      <w:pPr>
        <w:numPr>
          <w:ilvl w:val="1"/>
          <w:numId w:val="3"/>
        </w:numPr>
      </w:pPr>
      <w:r w:rsidRPr="00C238FE">
        <w:t>Activities are clearly defined, limited in scope, and appropriate for the lab’s hazard level.</w:t>
      </w:r>
    </w:p>
    <w:p w14:paraId="5B7D6AD3" w14:textId="77777777" w:rsidR="00C238FE" w:rsidRPr="00C238FE" w:rsidRDefault="00C238FE" w:rsidP="00C238FE">
      <w:pPr>
        <w:numPr>
          <w:ilvl w:val="1"/>
          <w:numId w:val="3"/>
        </w:numPr>
      </w:pPr>
      <w:r w:rsidRPr="00C238FE">
        <w:t>Visitors may not operate hazardous equipment unless explicitly approved.</w:t>
      </w:r>
    </w:p>
    <w:p w14:paraId="75780C3F" w14:textId="77777777" w:rsidR="00C238FE" w:rsidRPr="00C238FE" w:rsidRDefault="00C238FE" w:rsidP="00C238FE">
      <w:pPr>
        <w:numPr>
          <w:ilvl w:val="0"/>
          <w:numId w:val="3"/>
        </w:numPr>
      </w:pPr>
      <w:r w:rsidRPr="00C238FE">
        <w:rPr>
          <w:b/>
          <w:bCs/>
        </w:rPr>
        <w:t>Approvals</w:t>
      </w:r>
    </w:p>
    <w:p w14:paraId="197AD243" w14:textId="77777777" w:rsidR="00C238FE" w:rsidRPr="00C238FE" w:rsidRDefault="00C238FE" w:rsidP="00C238FE">
      <w:pPr>
        <w:numPr>
          <w:ilvl w:val="1"/>
          <w:numId w:val="3"/>
        </w:numPr>
      </w:pPr>
      <w:r w:rsidRPr="00C238FE">
        <w:t xml:space="preserve">Written approval from: </w:t>
      </w:r>
    </w:p>
    <w:p w14:paraId="17E1141B" w14:textId="77777777" w:rsidR="00C238FE" w:rsidRPr="00C238FE" w:rsidRDefault="00C238FE" w:rsidP="00C238FE">
      <w:pPr>
        <w:numPr>
          <w:ilvl w:val="2"/>
          <w:numId w:val="3"/>
        </w:numPr>
      </w:pPr>
      <w:r w:rsidRPr="00C238FE">
        <w:t>Lab Sponsor</w:t>
      </w:r>
    </w:p>
    <w:p w14:paraId="30CD1964" w14:textId="5F593762" w:rsidR="00C238FE" w:rsidRPr="00C238FE" w:rsidRDefault="00C238FE" w:rsidP="00C238FE">
      <w:pPr>
        <w:numPr>
          <w:ilvl w:val="2"/>
          <w:numId w:val="3"/>
        </w:numPr>
      </w:pPr>
      <w:r w:rsidRPr="00C238FE">
        <w:t xml:space="preserve">Department Chair </w:t>
      </w:r>
    </w:p>
    <w:p w14:paraId="4753D30A" w14:textId="2E6750F5" w:rsidR="00C238FE" w:rsidRPr="00C238FE" w:rsidRDefault="00955E42" w:rsidP="00C238FE">
      <w:pPr>
        <w:numPr>
          <w:ilvl w:val="2"/>
          <w:numId w:val="3"/>
        </w:numPr>
      </w:pPr>
      <w:r>
        <w:t>COE Safety Officer (</w:t>
      </w:r>
      <w:r w:rsidR="00C238FE" w:rsidRPr="00C238FE">
        <w:t>EH&amp;S</w:t>
      </w:r>
      <w:r>
        <w:t>)</w:t>
      </w:r>
      <w:r w:rsidR="00C238FE" w:rsidRPr="00C238FE">
        <w:t xml:space="preserve"> (when hazards are present)</w:t>
      </w:r>
    </w:p>
    <w:p w14:paraId="75D40BEF" w14:textId="7D2D8561" w:rsidR="00C238FE" w:rsidRPr="00C238FE" w:rsidRDefault="00C238FE" w:rsidP="00C238FE"/>
    <w:p w14:paraId="62DABFD7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4.2 Minors (Under 18)</w:t>
      </w:r>
    </w:p>
    <w:p w14:paraId="7CFE8A39" w14:textId="77777777" w:rsidR="00C238FE" w:rsidRPr="00C238FE" w:rsidRDefault="00C238FE" w:rsidP="00C238FE">
      <w:r w:rsidRPr="00C238FE">
        <w:t xml:space="preserve">Minors are subject to </w:t>
      </w:r>
      <w:r w:rsidRPr="008A3A49">
        <w:t>additional restrictions</w:t>
      </w:r>
      <w:r w:rsidRPr="00C238FE">
        <w:t xml:space="preserve"> and may only be granted access when part of:</w:t>
      </w:r>
    </w:p>
    <w:p w14:paraId="4C0994DB" w14:textId="77777777" w:rsidR="00C238FE" w:rsidRPr="00C238FE" w:rsidRDefault="00C238FE" w:rsidP="00C238FE">
      <w:pPr>
        <w:numPr>
          <w:ilvl w:val="0"/>
          <w:numId w:val="4"/>
        </w:numPr>
      </w:pPr>
      <w:r w:rsidRPr="00C238FE">
        <w:lastRenderedPageBreak/>
        <w:t>A university</w:t>
      </w:r>
      <w:r w:rsidRPr="00C238FE">
        <w:noBreakHyphen/>
        <w:t>approved outreach, educational, or internship program</w:t>
      </w:r>
    </w:p>
    <w:p w14:paraId="26A081FB" w14:textId="77777777" w:rsidR="00C238FE" w:rsidRPr="00C238FE" w:rsidRDefault="00C238FE" w:rsidP="00C238FE">
      <w:pPr>
        <w:numPr>
          <w:ilvl w:val="0"/>
          <w:numId w:val="4"/>
        </w:numPr>
      </w:pPr>
      <w:r w:rsidRPr="00C238FE">
        <w:t>A formally reviewed research or training experience</w:t>
      </w:r>
    </w:p>
    <w:p w14:paraId="76A74DA7" w14:textId="77777777" w:rsidR="00C238FE" w:rsidRPr="00C238FE" w:rsidRDefault="00C238FE" w:rsidP="00C238FE">
      <w:r w:rsidRPr="00C238FE">
        <w:rPr>
          <w:b/>
          <w:bCs/>
        </w:rPr>
        <w:t>Individual or informal arrangements are not permitted.</w:t>
      </w:r>
    </w:p>
    <w:p w14:paraId="0B5AE6D9" w14:textId="5662E275" w:rsidR="00C238FE" w:rsidRPr="00C238FE" w:rsidRDefault="00C238FE" w:rsidP="00C238FE"/>
    <w:p w14:paraId="3956CAF4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5. Prohibited Activities</w:t>
      </w:r>
    </w:p>
    <w:p w14:paraId="51B4CE5A" w14:textId="7F1C35CE" w:rsidR="00C238FE" w:rsidRPr="00C238FE" w:rsidRDefault="00C238FE" w:rsidP="00C238FE">
      <w:r w:rsidRPr="00C238FE">
        <w:t xml:space="preserve">The following are prohibited for all visitors and minors unless explicitly approved </w:t>
      </w:r>
      <w:r w:rsidR="004D3E67">
        <w:t>by COE Safety Officer (EHS)</w:t>
      </w:r>
      <w:r w:rsidRPr="00C238FE">
        <w:t>:</w:t>
      </w:r>
    </w:p>
    <w:p w14:paraId="205D3920" w14:textId="77777777" w:rsidR="00C238FE" w:rsidRPr="00C238FE" w:rsidRDefault="00C238FE" w:rsidP="00C238FE">
      <w:pPr>
        <w:numPr>
          <w:ilvl w:val="0"/>
          <w:numId w:val="5"/>
        </w:numPr>
      </w:pPr>
      <w:r w:rsidRPr="00C238FE">
        <w:t>Working alone in any laboratory</w:t>
      </w:r>
    </w:p>
    <w:p w14:paraId="33653FB7" w14:textId="77777777" w:rsidR="00C238FE" w:rsidRPr="00C238FE" w:rsidRDefault="00C238FE" w:rsidP="00C238FE">
      <w:pPr>
        <w:numPr>
          <w:ilvl w:val="0"/>
          <w:numId w:val="5"/>
        </w:numPr>
      </w:pPr>
      <w:r w:rsidRPr="00C238FE">
        <w:t>Handling hazardous chemicals, compressed gases, or biological agents</w:t>
      </w:r>
    </w:p>
    <w:p w14:paraId="4E4A2712" w14:textId="77777777" w:rsidR="00C238FE" w:rsidRPr="00C238FE" w:rsidRDefault="00C238FE" w:rsidP="00C238FE">
      <w:pPr>
        <w:numPr>
          <w:ilvl w:val="0"/>
          <w:numId w:val="5"/>
        </w:numPr>
      </w:pPr>
      <w:r w:rsidRPr="00C238FE">
        <w:t xml:space="preserve">Operating: </w:t>
      </w:r>
    </w:p>
    <w:p w14:paraId="0DC9C458" w14:textId="77777777" w:rsidR="00C238FE" w:rsidRPr="00C238FE" w:rsidRDefault="00C238FE" w:rsidP="00C238FE">
      <w:pPr>
        <w:numPr>
          <w:ilvl w:val="1"/>
          <w:numId w:val="5"/>
        </w:numPr>
      </w:pPr>
      <w:r w:rsidRPr="00C238FE">
        <w:t>Machine tools</w:t>
      </w:r>
    </w:p>
    <w:p w14:paraId="107E1F8A" w14:textId="77777777" w:rsidR="00C238FE" w:rsidRPr="00C238FE" w:rsidRDefault="00C238FE" w:rsidP="00C238FE">
      <w:pPr>
        <w:numPr>
          <w:ilvl w:val="1"/>
          <w:numId w:val="5"/>
        </w:numPr>
      </w:pPr>
      <w:r w:rsidRPr="00C238FE">
        <w:t>Lasers (Class 3B or 4)</w:t>
      </w:r>
    </w:p>
    <w:p w14:paraId="518CB41E" w14:textId="77777777" w:rsidR="00C238FE" w:rsidRPr="00C238FE" w:rsidRDefault="00C238FE" w:rsidP="00C238FE">
      <w:pPr>
        <w:numPr>
          <w:ilvl w:val="1"/>
          <w:numId w:val="5"/>
        </w:numPr>
      </w:pPr>
      <w:r w:rsidRPr="00C238FE">
        <w:t>High</w:t>
      </w:r>
      <w:r w:rsidRPr="00C238FE">
        <w:noBreakHyphen/>
        <w:t>voltage or high</w:t>
      </w:r>
      <w:r w:rsidRPr="00C238FE">
        <w:noBreakHyphen/>
        <w:t>pressure systems</w:t>
      </w:r>
    </w:p>
    <w:p w14:paraId="1DE6CB93" w14:textId="77777777" w:rsidR="00C238FE" w:rsidRPr="00C238FE" w:rsidRDefault="00C238FE" w:rsidP="00C238FE">
      <w:pPr>
        <w:numPr>
          <w:ilvl w:val="1"/>
          <w:numId w:val="5"/>
        </w:numPr>
      </w:pPr>
      <w:r w:rsidRPr="00C238FE">
        <w:t>Radiation</w:t>
      </w:r>
      <w:r w:rsidRPr="00C238FE">
        <w:noBreakHyphen/>
        <w:t>producing equipment</w:t>
      </w:r>
    </w:p>
    <w:p w14:paraId="3A1C96BA" w14:textId="77777777" w:rsidR="00C238FE" w:rsidRPr="00C238FE" w:rsidRDefault="00C238FE" w:rsidP="00C238FE">
      <w:pPr>
        <w:numPr>
          <w:ilvl w:val="0"/>
          <w:numId w:val="5"/>
        </w:numPr>
      </w:pPr>
      <w:r w:rsidRPr="00C238FE">
        <w:t>Modifying lab equipment or safety systems</w:t>
      </w:r>
    </w:p>
    <w:p w14:paraId="75CF2C9E" w14:textId="77777777" w:rsidR="00C238FE" w:rsidRPr="00C238FE" w:rsidRDefault="00C238FE" w:rsidP="00C238FE">
      <w:pPr>
        <w:numPr>
          <w:ilvl w:val="0"/>
          <w:numId w:val="5"/>
        </w:numPr>
      </w:pPr>
      <w:r w:rsidRPr="00C238FE">
        <w:t>Access outside posted lab hours</w:t>
      </w:r>
    </w:p>
    <w:p w14:paraId="2E2B0336" w14:textId="19EA0B69" w:rsidR="00C238FE" w:rsidRPr="00C238FE" w:rsidRDefault="00C238FE" w:rsidP="00C238FE"/>
    <w:p w14:paraId="4326FB32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6. Training &amp; Orientation Requirements</w:t>
      </w:r>
    </w:p>
    <w:p w14:paraId="497F7911" w14:textId="77777777" w:rsidR="00C238FE" w:rsidRPr="00C238FE" w:rsidRDefault="00C238FE" w:rsidP="00C238FE">
      <w:r w:rsidRPr="00C238FE">
        <w:t>Prior to lab access, all visitors and minors must complete:</w:t>
      </w:r>
    </w:p>
    <w:p w14:paraId="3A545B17" w14:textId="77777777" w:rsidR="00C238FE" w:rsidRPr="00C238FE" w:rsidRDefault="00C238FE" w:rsidP="00C238FE">
      <w:pPr>
        <w:numPr>
          <w:ilvl w:val="0"/>
          <w:numId w:val="6"/>
        </w:numPr>
      </w:pPr>
      <w:r w:rsidRPr="00C238FE">
        <w:t>Laboratory safety orientation (lab</w:t>
      </w:r>
      <w:r w:rsidRPr="00C238FE">
        <w:noBreakHyphen/>
        <w:t>specific)</w:t>
      </w:r>
    </w:p>
    <w:p w14:paraId="513759FF" w14:textId="77777777" w:rsidR="00C238FE" w:rsidRPr="00C238FE" w:rsidRDefault="00C238FE" w:rsidP="00C238FE">
      <w:pPr>
        <w:numPr>
          <w:ilvl w:val="0"/>
          <w:numId w:val="6"/>
        </w:numPr>
      </w:pPr>
      <w:r w:rsidRPr="00C238FE">
        <w:t>Hazard communication briefing (as applicable)</w:t>
      </w:r>
    </w:p>
    <w:p w14:paraId="538460E7" w14:textId="77777777" w:rsidR="00C238FE" w:rsidRPr="00C238FE" w:rsidRDefault="00C238FE" w:rsidP="00C238FE">
      <w:pPr>
        <w:numPr>
          <w:ilvl w:val="0"/>
          <w:numId w:val="6"/>
        </w:numPr>
      </w:pPr>
      <w:r w:rsidRPr="00C238FE">
        <w:t>Emergency procedures and evacuation routes</w:t>
      </w:r>
    </w:p>
    <w:p w14:paraId="188672E2" w14:textId="77777777" w:rsidR="00C238FE" w:rsidRPr="00C238FE" w:rsidRDefault="00C238FE" w:rsidP="00C238FE">
      <w:pPr>
        <w:numPr>
          <w:ilvl w:val="0"/>
          <w:numId w:val="6"/>
        </w:numPr>
      </w:pPr>
      <w:r w:rsidRPr="00C238FE">
        <w:t>Required PPE training</w:t>
      </w:r>
    </w:p>
    <w:p w14:paraId="78F21054" w14:textId="77777777" w:rsidR="00C238FE" w:rsidRPr="00C238FE" w:rsidRDefault="00C238FE" w:rsidP="00C238FE">
      <w:r w:rsidRPr="00C238FE">
        <w:t xml:space="preserve">Training must be </w:t>
      </w:r>
      <w:r w:rsidRPr="006E7DAA">
        <w:t>documented</w:t>
      </w:r>
      <w:r w:rsidRPr="00C238FE">
        <w:t xml:space="preserve"> and retained by the Lab Sponsor.</w:t>
      </w:r>
    </w:p>
    <w:p w14:paraId="79696A9C" w14:textId="42C47F1B" w:rsidR="00C238FE" w:rsidRPr="00C238FE" w:rsidRDefault="00C238FE" w:rsidP="00C238FE"/>
    <w:p w14:paraId="5C2BEBDD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lastRenderedPageBreak/>
        <w:t>7. Supervision Requirements</w:t>
      </w:r>
    </w:p>
    <w:p w14:paraId="1C046D9B" w14:textId="11118951" w:rsidR="00C238FE" w:rsidRPr="00C238FE" w:rsidRDefault="00C238FE" w:rsidP="00C238FE">
      <w:pPr>
        <w:numPr>
          <w:ilvl w:val="0"/>
          <w:numId w:val="7"/>
        </w:numPr>
      </w:pPr>
      <w:r w:rsidRPr="00C238FE">
        <w:t xml:space="preserve">Visitors and minors must </w:t>
      </w:r>
      <w:r w:rsidR="000E7EA7" w:rsidRPr="00C238FE">
        <w:t>always be under direct supervision</w:t>
      </w:r>
      <w:r w:rsidRPr="00C238FE">
        <w:t>.</w:t>
      </w:r>
    </w:p>
    <w:p w14:paraId="70ED917F" w14:textId="77777777" w:rsidR="00C238FE" w:rsidRPr="00C238FE" w:rsidRDefault="00C238FE" w:rsidP="00C238FE">
      <w:pPr>
        <w:numPr>
          <w:ilvl w:val="0"/>
          <w:numId w:val="7"/>
        </w:numPr>
      </w:pPr>
      <w:r w:rsidRPr="00C238FE">
        <w:t xml:space="preserve">Supervisor-to-participant ratios: </w:t>
      </w:r>
    </w:p>
    <w:p w14:paraId="64F3AC32" w14:textId="77777777" w:rsidR="00C238FE" w:rsidRPr="00C238FE" w:rsidRDefault="00C238FE" w:rsidP="00C238FE">
      <w:pPr>
        <w:numPr>
          <w:ilvl w:val="1"/>
          <w:numId w:val="7"/>
        </w:numPr>
      </w:pPr>
      <w:r w:rsidRPr="00C238FE">
        <w:rPr>
          <w:b/>
          <w:bCs/>
        </w:rPr>
        <w:t>Adults:</w:t>
      </w:r>
      <w:r w:rsidRPr="00C238FE">
        <w:t xml:space="preserve"> 1 supervisor per 5 visitors (recommended)</w:t>
      </w:r>
    </w:p>
    <w:p w14:paraId="7321EC21" w14:textId="77777777" w:rsidR="00C238FE" w:rsidRPr="00C238FE" w:rsidRDefault="00C238FE" w:rsidP="00C238FE">
      <w:pPr>
        <w:numPr>
          <w:ilvl w:val="1"/>
          <w:numId w:val="7"/>
        </w:numPr>
      </w:pPr>
      <w:r w:rsidRPr="00C238FE">
        <w:rPr>
          <w:b/>
          <w:bCs/>
        </w:rPr>
        <w:t>Minors:</w:t>
      </w:r>
      <w:r w:rsidRPr="00C238FE">
        <w:t xml:space="preserve"> 1 supervisor per 3 minors (minimum)</w:t>
      </w:r>
    </w:p>
    <w:p w14:paraId="776C9264" w14:textId="77777777" w:rsidR="00C238FE" w:rsidRPr="00C238FE" w:rsidRDefault="00C238FE" w:rsidP="00C238FE">
      <w:pPr>
        <w:numPr>
          <w:ilvl w:val="0"/>
          <w:numId w:val="7"/>
        </w:numPr>
      </w:pPr>
      <w:r w:rsidRPr="00C238FE">
        <w:t>Supervisors must be trained, authorized lab users.</w:t>
      </w:r>
    </w:p>
    <w:p w14:paraId="1B38EF75" w14:textId="68CDACAF" w:rsidR="00C238FE" w:rsidRPr="00C238FE" w:rsidRDefault="00C238FE" w:rsidP="00C238FE"/>
    <w:p w14:paraId="724708FC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8. Personal Protective Equipment (PPE)</w:t>
      </w:r>
    </w:p>
    <w:p w14:paraId="2A308F34" w14:textId="77777777" w:rsidR="00C238FE" w:rsidRPr="00C238FE" w:rsidRDefault="00C238FE" w:rsidP="00C238FE">
      <w:pPr>
        <w:numPr>
          <w:ilvl w:val="0"/>
          <w:numId w:val="8"/>
        </w:numPr>
      </w:pPr>
      <w:r w:rsidRPr="00C238FE">
        <w:t>Visitors and minors must wear all PPE required for that lab.</w:t>
      </w:r>
    </w:p>
    <w:p w14:paraId="23F287D9" w14:textId="77777777" w:rsidR="00C238FE" w:rsidRPr="00C238FE" w:rsidRDefault="00C238FE" w:rsidP="00C238FE">
      <w:pPr>
        <w:numPr>
          <w:ilvl w:val="0"/>
          <w:numId w:val="8"/>
        </w:numPr>
      </w:pPr>
      <w:r w:rsidRPr="00C238FE">
        <w:t xml:space="preserve">Minimum PPE typically includes: </w:t>
      </w:r>
    </w:p>
    <w:p w14:paraId="2A524E06" w14:textId="77777777" w:rsidR="00C238FE" w:rsidRPr="00C238FE" w:rsidRDefault="00C238FE" w:rsidP="00C238FE">
      <w:pPr>
        <w:numPr>
          <w:ilvl w:val="1"/>
          <w:numId w:val="8"/>
        </w:numPr>
      </w:pPr>
      <w:proofErr w:type="gramStart"/>
      <w:r w:rsidRPr="00C238FE">
        <w:t>Closed</w:t>
      </w:r>
      <w:r w:rsidRPr="00C238FE">
        <w:noBreakHyphen/>
        <w:t>toe</w:t>
      </w:r>
      <w:proofErr w:type="gramEnd"/>
      <w:r w:rsidRPr="00C238FE">
        <w:t xml:space="preserve"> shoes</w:t>
      </w:r>
    </w:p>
    <w:p w14:paraId="32880CE1" w14:textId="77777777" w:rsidR="00C238FE" w:rsidRPr="00C238FE" w:rsidRDefault="00C238FE" w:rsidP="00C238FE">
      <w:pPr>
        <w:numPr>
          <w:ilvl w:val="1"/>
          <w:numId w:val="8"/>
        </w:numPr>
      </w:pPr>
      <w:r w:rsidRPr="00C238FE">
        <w:t>Long pants</w:t>
      </w:r>
    </w:p>
    <w:p w14:paraId="2862DF45" w14:textId="77777777" w:rsidR="00C238FE" w:rsidRPr="00C238FE" w:rsidRDefault="00C238FE" w:rsidP="00C238FE">
      <w:pPr>
        <w:numPr>
          <w:ilvl w:val="1"/>
          <w:numId w:val="8"/>
        </w:numPr>
      </w:pPr>
      <w:r w:rsidRPr="00C238FE">
        <w:t>Eye protection</w:t>
      </w:r>
    </w:p>
    <w:p w14:paraId="741C1123" w14:textId="77777777" w:rsidR="00C238FE" w:rsidRPr="00C238FE" w:rsidRDefault="00C238FE" w:rsidP="00C238FE">
      <w:pPr>
        <w:numPr>
          <w:ilvl w:val="0"/>
          <w:numId w:val="8"/>
        </w:numPr>
      </w:pPr>
      <w:r w:rsidRPr="00C238FE">
        <w:t>The Lab Sponsor is responsible for ensuring PPE is available and used correctly.</w:t>
      </w:r>
    </w:p>
    <w:p w14:paraId="73CA58F5" w14:textId="3566A19F" w:rsidR="00C238FE" w:rsidRPr="00C238FE" w:rsidRDefault="00C238FE" w:rsidP="00C238FE"/>
    <w:p w14:paraId="34C3A8EA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9. Access Control &amp; Identification</w:t>
      </w:r>
    </w:p>
    <w:p w14:paraId="5133E0DD" w14:textId="77777777" w:rsidR="00C238FE" w:rsidRPr="00C238FE" w:rsidRDefault="00C238FE" w:rsidP="00C238FE">
      <w:pPr>
        <w:numPr>
          <w:ilvl w:val="0"/>
          <w:numId w:val="9"/>
        </w:numPr>
      </w:pPr>
      <w:r w:rsidRPr="00C238FE">
        <w:t>Visitors and minors must sign in/out of the lab.</w:t>
      </w:r>
    </w:p>
    <w:p w14:paraId="7CCC287D" w14:textId="77777777" w:rsidR="00C238FE" w:rsidRPr="00C238FE" w:rsidRDefault="00C238FE" w:rsidP="00C238FE">
      <w:pPr>
        <w:numPr>
          <w:ilvl w:val="0"/>
          <w:numId w:val="9"/>
        </w:numPr>
      </w:pPr>
      <w:r w:rsidRPr="00C238FE">
        <w:t xml:space="preserve">Keys, badges, or access codes </w:t>
      </w:r>
      <w:r w:rsidRPr="00C238FE">
        <w:rPr>
          <w:b/>
          <w:bCs/>
        </w:rPr>
        <w:t>may not</w:t>
      </w:r>
      <w:r w:rsidRPr="00C238FE">
        <w:t xml:space="preserve"> be issued to visitors or minors.</w:t>
      </w:r>
    </w:p>
    <w:p w14:paraId="3F3A512D" w14:textId="4F06F9F1" w:rsidR="00C238FE" w:rsidRPr="00C238FE" w:rsidRDefault="00C238FE" w:rsidP="00C238FE"/>
    <w:p w14:paraId="3B48F84D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10. Consent, Waivers &amp; Legal Requirements (Minors)</w:t>
      </w:r>
    </w:p>
    <w:p w14:paraId="796A6A5A" w14:textId="77777777" w:rsidR="00C238FE" w:rsidRPr="00C238FE" w:rsidRDefault="00C238FE" w:rsidP="00C238FE">
      <w:r w:rsidRPr="00C238FE">
        <w:t>Prior to participation, the following must be completed and filed:</w:t>
      </w:r>
    </w:p>
    <w:p w14:paraId="027EEA5F" w14:textId="77777777" w:rsidR="00C238FE" w:rsidRPr="00C238FE" w:rsidRDefault="00C238FE" w:rsidP="00C238FE">
      <w:pPr>
        <w:numPr>
          <w:ilvl w:val="0"/>
          <w:numId w:val="10"/>
        </w:numPr>
      </w:pPr>
      <w:r w:rsidRPr="00C238FE">
        <w:t xml:space="preserve">Parental/guardian </w:t>
      </w:r>
      <w:r w:rsidRPr="00C238FE">
        <w:rPr>
          <w:b/>
          <w:bCs/>
        </w:rPr>
        <w:t>informed consent</w:t>
      </w:r>
    </w:p>
    <w:p w14:paraId="59F1F2BC" w14:textId="77777777" w:rsidR="00C238FE" w:rsidRPr="00C238FE" w:rsidRDefault="00C238FE" w:rsidP="00C238FE">
      <w:pPr>
        <w:numPr>
          <w:ilvl w:val="0"/>
          <w:numId w:val="10"/>
        </w:numPr>
      </w:pPr>
      <w:r w:rsidRPr="00C238FE">
        <w:t>Liability waiver and assumption of risk</w:t>
      </w:r>
    </w:p>
    <w:p w14:paraId="31FA074B" w14:textId="77777777" w:rsidR="00C238FE" w:rsidRPr="00C238FE" w:rsidRDefault="00C238FE" w:rsidP="00C238FE">
      <w:pPr>
        <w:numPr>
          <w:ilvl w:val="0"/>
          <w:numId w:val="10"/>
        </w:numPr>
      </w:pPr>
      <w:r w:rsidRPr="00C238FE">
        <w:t>Emergency contact information</w:t>
      </w:r>
    </w:p>
    <w:p w14:paraId="5FF68F6D" w14:textId="77777777" w:rsidR="00C238FE" w:rsidRPr="00C238FE" w:rsidRDefault="00C238FE" w:rsidP="00C238FE">
      <w:pPr>
        <w:numPr>
          <w:ilvl w:val="0"/>
          <w:numId w:val="10"/>
        </w:numPr>
      </w:pPr>
      <w:r w:rsidRPr="00C238FE">
        <w:lastRenderedPageBreak/>
        <w:t>Medical disclosure (if applicable)</w:t>
      </w:r>
    </w:p>
    <w:p w14:paraId="4F87938A" w14:textId="59AF78E7" w:rsidR="00C238FE" w:rsidRPr="00C238FE" w:rsidRDefault="00C238FE" w:rsidP="00C238FE"/>
    <w:p w14:paraId="1F3401C8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11. Incident Reporting</w:t>
      </w:r>
    </w:p>
    <w:p w14:paraId="293517AB" w14:textId="77777777" w:rsidR="00C238FE" w:rsidRDefault="00C238FE" w:rsidP="00C238FE">
      <w:pPr>
        <w:numPr>
          <w:ilvl w:val="0"/>
          <w:numId w:val="11"/>
        </w:numPr>
      </w:pPr>
      <w:r w:rsidRPr="00C238FE">
        <w:t xml:space="preserve">Any injury, near miss, or unsafe condition involving a visitor or minor must be reported </w:t>
      </w:r>
      <w:r w:rsidRPr="00C238FE">
        <w:rPr>
          <w:b/>
          <w:bCs/>
        </w:rPr>
        <w:t>immediately</w:t>
      </w:r>
      <w:r w:rsidRPr="00C238FE">
        <w:t xml:space="preserve"> to: </w:t>
      </w:r>
    </w:p>
    <w:p w14:paraId="178FA40C" w14:textId="77777777" w:rsidR="00FA2E69" w:rsidRDefault="005F7468" w:rsidP="00F1721F">
      <w:pPr>
        <w:pStyle w:val="ListParagraph"/>
        <w:rPr>
          <w:rFonts w:ascii="Times New Roman" w:hAnsi="Times New Roman" w:cs="Times New Roman"/>
        </w:rPr>
      </w:pPr>
      <w:r w:rsidRPr="005F7468">
        <w:rPr>
          <w:rFonts w:ascii="Times New Roman" w:hAnsi="Times New Roman" w:cs="Times New Roman"/>
        </w:rPr>
        <w:t>Life-threatening emergencies: Call 911</w:t>
      </w:r>
    </w:p>
    <w:p w14:paraId="401FA81D" w14:textId="77777777" w:rsidR="008D0C31" w:rsidRDefault="008D0C31" w:rsidP="00F1721F">
      <w:pPr>
        <w:pStyle w:val="ListParagraph"/>
        <w:rPr>
          <w:rFonts w:ascii="Times New Roman" w:hAnsi="Times New Roman" w:cs="Times New Roman"/>
        </w:rPr>
      </w:pPr>
    </w:p>
    <w:p w14:paraId="0D250C80" w14:textId="77777777" w:rsidR="008D0C31" w:rsidRDefault="005F7468" w:rsidP="00F1721F">
      <w:pPr>
        <w:pStyle w:val="ListParagraph"/>
        <w:rPr>
          <w:rFonts w:ascii="Times New Roman" w:hAnsi="Times New Roman" w:cs="Times New Roman"/>
        </w:rPr>
      </w:pPr>
      <w:r w:rsidRPr="005F7468">
        <w:rPr>
          <w:rFonts w:ascii="Times New Roman" w:hAnsi="Times New Roman" w:cs="Times New Roman"/>
        </w:rPr>
        <w:t xml:space="preserve">COE Safety Officer / Environmental Health &amp; Safety (EHS): (562) 985-5111 </w:t>
      </w:r>
    </w:p>
    <w:p w14:paraId="3E387E8E" w14:textId="64317514" w:rsidR="00691CFC" w:rsidRPr="00F1721F" w:rsidRDefault="005F7468" w:rsidP="00F1721F">
      <w:pPr>
        <w:pStyle w:val="ListParagraph"/>
        <w:rPr>
          <w:rFonts w:ascii="Times New Roman" w:hAnsi="Times New Roman" w:cs="Times New Roman"/>
        </w:rPr>
      </w:pPr>
      <w:r w:rsidRPr="005F7468">
        <w:rPr>
          <w:rFonts w:ascii="Times New Roman" w:hAnsi="Times New Roman" w:cs="Times New Roman"/>
        </w:rPr>
        <w:t>or (562) 985-4357</w:t>
      </w:r>
    </w:p>
    <w:p w14:paraId="5399CF11" w14:textId="281EBCAA" w:rsidR="005F7468" w:rsidRPr="00A56668" w:rsidRDefault="005F7468" w:rsidP="00FA2E69">
      <w:pPr>
        <w:pStyle w:val="Heading3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66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CHEMICAL SPILL RESPONSE (CHP Section 8.6)</w:t>
      </w:r>
      <w:r w:rsidRPr="00A56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A9AC1F" w14:textId="54DD392E" w:rsidR="005F7468" w:rsidRPr="005F7468" w:rsidRDefault="005F7468" w:rsidP="006C2DDC">
      <w:pPr>
        <w:pStyle w:val="ListParagraph"/>
        <w:rPr>
          <w:rFonts w:ascii="Times New Roman" w:hAnsi="Times New Roman" w:cs="Times New Roman"/>
        </w:rPr>
      </w:pPr>
      <w:r w:rsidRPr="005F7468">
        <w:rPr>
          <w:rFonts w:ascii="Times New Roman" w:hAnsi="Times New Roman" w:cs="Times New Roman"/>
        </w:rPr>
        <w:t xml:space="preserve">Minor Spill (trained </w:t>
      </w:r>
      <w:r w:rsidR="008D0C31">
        <w:rPr>
          <w:rFonts w:ascii="Times New Roman" w:hAnsi="Times New Roman" w:cs="Times New Roman"/>
        </w:rPr>
        <w:t>personnel</w:t>
      </w:r>
      <w:r w:rsidRPr="005F7468">
        <w:rPr>
          <w:rFonts w:ascii="Times New Roman" w:hAnsi="Times New Roman" w:cs="Times New Roman"/>
        </w:rPr>
        <w:t xml:space="preserve"> only): Alert others, wear PPE, use spill kit, Safety Officer or EHS.</w:t>
      </w:r>
      <w:r w:rsidRPr="005F7468">
        <w:rPr>
          <w:rFonts w:ascii="Times New Roman" w:hAnsi="Times New Roman" w:cs="Times New Roman"/>
        </w:rPr>
        <w:br/>
        <w:t>Major Spill (large, hazardous, or unknown): Stop work, evacuate, close doors, call 911, notify Safety Officer or EHS.</w:t>
      </w:r>
    </w:p>
    <w:p w14:paraId="5E3CFF25" w14:textId="77777777" w:rsidR="005F7468" w:rsidRPr="00A56668" w:rsidRDefault="005F7468" w:rsidP="00FA2E69">
      <w:pPr>
        <w:pStyle w:val="Heading3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66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INJURY OR EXPOSURE RESPONSE (CHP Section 5.5)</w:t>
      </w:r>
    </w:p>
    <w:p w14:paraId="65151F22" w14:textId="23A8086E" w:rsidR="005F7468" w:rsidRPr="005F7468" w:rsidRDefault="005F7468" w:rsidP="006C2DDC">
      <w:pPr>
        <w:pStyle w:val="ListParagraph"/>
        <w:rPr>
          <w:rFonts w:ascii="Times New Roman" w:hAnsi="Times New Roman" w:cs="Times New Roman"/>
        </w:rPr>
      </w:pPr>
      <w:r w:rsidRPr="005F7468">
        <w:rPr>
          <w:rFonts w:ascii="Times New Roman" w:hAnsi="Times New Roman" w:cs="Times New Roman"/>
        </w:rPr>
        <w:t>• Chemical exposure: Use eyewash or safety shower for 15 minutes and seek medical attention</w:t>
      </w:r>
      <w:r w:rsidRPr="005F7468">
        <w:rPr>
          <w:rFonts w:ascii="Times New Roman" w:hAnsi="Times New Roman" w:cs="Times New Roman"/>
        </w:rPr>
        <w:br/>
        <w:t>• Injury: Call 911 if severe; report all injuries to the COE Safety Officer</w:t>
      </w:r>
    </w:p>
    <w:p w14:paraId="71AA653D" w14:textId="77777777" w:rsidR="005F7468" w:rsidRPr="00C238FE" w:rsidRDefault="005F7468" w:rsidP="005F7468">
      <w:pPr>
        <w:ind w:left="720"/>
      </w:pPr>
    </w:p>
    <w:p w14:paraId="067386EA" w14:textId="77777777" w:rsidR="00C238FE" w:rsidRPr="00C238FE" w:rsidRDefault="00C238FE" w:rsidP="00C238FE">
      <w:pPr>
        <w:numPr>
          <w:ilvl w:val="0"/>
          <w:numId w:val="11"/>
        </w:numPr>
      </w:pPr>
      <w:r w:rsidRPr="00C238FE">
        <w:t>Work must stop until hazards are evaluated and mitigated.</w:t>
      </w:r>
    </w:p>
    <w:p w14:paraId="190B7F39" w14:textId="458190C1" w:rsidR="00C238FE" w:rsidRPr="00C238FE" w:rsidRDefault="00C238FE" w:rsidP="00C238FE"/>
    <w:p w14:paraId="691C7ABB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12. Responsibilities</w:t>
      </w:r>
    </w:p>
    <w:p w14:paraId="049D4DA6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Lab Sponsor</w:t>
      </w:r>
    </w:p>
    <w:p w14:paraId="21B89A7F" w14:textId="77777777" w:rsidR="00C238FE" w:rsidRPr="00C238FE" w:rsidRDefault="00C238FE" w:rsidP="00C238FE">
      <w:pPr>
        <w:numPr>
          <w:ilvl w:val="0"/>
          <w:numId w:val="12"/>
        </w:numPr>
      </w:pPr>
      <w:r w:rsidRPr="00C238FE">
        <w:t>Ensure compliance with this policy</w:t>
      </w:r>
    </w:p>
    <w:p w14:paraId="420BAEA9" w14:textId="77777777" w:rsidR="00C238FE" w:rsidRPr="00C238FE" w:rsidRDefault="00C238FE" w:rsidP="00C238FE">
      <w:pPr>
        <w:numPr>
          <w:ilvl w:val="0"/>
          <w:numId w:val="12"/>
        </w:numPr>
      </w:pPr>
      <w:r w:rsidRPr="00C238FE">
        <w:t>Define allowable activities</w:t>
      </w:r>
    </w:p>
    <w:p w14:paraId="55386FE5" w14:textId="77777777" w:rsidR="00C238FE" w:rsidRPr="00C238FE" w:rsidRDefault="00C238FE" w:rsidP="00C238FE">
      <w:pPr>
        <w:numPr>
          <w:ilvl w:val="0"/>
          <w:numId w:val="12"/>
        </w:numPr>
      </w:pPr>
      <w:r w:rsidRPr="00C238FE">
        <w:t>Provide supervision and training</w:t>
      </w:r>
    </w:p>
    <w:p w14:paraId="7129909C" w14:textId="77777777" w:rsidR="00C238FE" w:rsidRPr="00C238FE" w:rsidRDefault="00C238FE" w:rsidP="00C238FE">
      <w:pPr>
        <w:numPr>
          <w:ilvl w:val="0"/>
          <w:numId w:val="12"/>
        </w:numPr>
      </w:pPr>
      <w:r w:rsidRPr="00C238FE">
        <w:t>Maintain documentation</w:t>
      </w:r>
    </w:p>
    <w:p w14:paraId="629DAA81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Department</w:t>
      </w:r>
    </w:p>
    <w:p w14:paraId="55A2FE30" w14:textId="77777777" w:rsidR="00C238FE" w:rsidRPr="00C238FE" w:rsidRDefault="00C238FE" w:rsidP="00C238FE">
      <w:pPr>
        <w:numPr>
          <w:ilvl w:val="0"/>
          <w:numId w:val="13"/>
        </w:numPr>
      </w:pPr>
      <w:r w:rsidRPr="00C238FE">
        <w:lastRenderedPageBreak/>
        <w:t>Review and approve requests</w:t>
      </w:r>
    </w:p>
    <w:p w14:paraId="68FE63C8" w14:textId="77777777" w:rsidR="00C238FE" w:rsidRPr="00C238FE" w:rsidRDefault="00C238FE" w:rsidP="00C238FE">
      <w:pPr>
        <w:numPr>
          <w:ilvl w:val="0"/>
          <w:numId w:val="13"/>
        </w:numPr>
      </w:pPr>
      <w:r w:rsidRPr="00C238FE">
        <w:t>Ensure labs are appropriate for visitors/minors</w:t>
      </w:r>
    </w:p>
    <w:p w14:paraId="0246E287" w14:textId="152B3ECB" w:rsidR="00C238FE" w:rsidRPr="00C238FE" w:rsidRDefault="00444679" w:rsidP="00C238FE">
      <w:pPr>
        <w:rPr>
          <w:b/>
          <w:bCs/>
        </w:rPr>
      </w:pPr>
      <w:r>
        <w:rPr>
          <w:b/>
          <w:bCs/>
        </w:rPr>
        <w:t xml:space="preserve">COE </w:t>
      </w:r>
      <w:r w:rsidR="000E7EA7">
        <w:rPr>
          <w:b/>
          <w:bCs/>
        </w:rPr>
        <w:t>Safety Officer (</w:t>
      </w:r>
      <w:r w:rsidR="00C238FE" w:rsidRPr="00C238FE">
        <w:rPr>
          <w:b/>
          <w:bCs/>
        </w:rPr>
        <w:t>EHS</w:t>
      </w:r>
      <w:r w:rsidR="000E7EA7">
        <w:rPr>
          <w:b/>
          <w:bCs/>
        </w:rPr>
        <w:t>)</w:t>
      </w:r>
    </w:p>
    <w:p w14:paraId="746CF39C" w14:textId="77777777" w:rsidR="00C238FE" w:rsidRPr="00C238FE" w:rsidRDefault="00C238FE" w:rsidP="00C238FE">
      <w:pPr>
        <w:numPr>
          <w:ilvl w:val="0"/>
          <w:numId w:val="14"/>
        </w:numPr>
      </w:pPr>
      <w:proofErr w:type="gramStart"/>
      <w:r w:rsidRPr="00C238FE">
        <w:t>Evaluate</w:t>
      </w:r>
      <w:proofErr w:type="gramEnd"/>
      <w:r w:rsidRPr="00C238FE">
        <w:t xml:space="preserve"> hazards</w:t>
      </w:r>
    </w:p>
    <w:p w14:paraId="12CAAC13" w14:textId="77777777" w:rsidR="00C238FE" w:rsidRPr="00C238FE" w:rsidRDefault="00C238FE" w:rsidP="00C238FE">
      <w:pPr>
        <w:numPr>
          <w:ilvl w:val="0"/>
          <w:numId w:val="14"/>
        </w:numPr>
      </w:pPr>
      <w:r w:rsidRPr="00C238FE">
        <w:t>Approve or deny access to restricted labs</w:t>
      </w:r>
    </w:p>
    <w:p w14:paraId="04381DD0" w14:textId="77777777" w:rsidR="00C238FE" w:rsidRPr="00C238FE" w:rsidRDefault="00C238FE" w:rsidP="00C238FE">
      <w:pPr>
        <w:numPr>
          <w:ilvl w:val="0"/>
          <w:numId w:val="14"/>
        </w:numPr>
      </w:pPr>
      <w:r w:rsidRPr="00C238FE">
        <w:t>Audit and enforce compliance</w:t>
      </w:r>
    </w:p>
    <w:p w14:paraId="77DC5DEB" w14:textId="4A366820" w:rsidR="00C238FE" w:rsidRPr="00C238FE" w:rsidRDefault="00C238FE" w:rsidP="00C238FE"/>
    <w:p w14:paraId="5C0C0AC3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13. Enforcement</w:t>
      </w:r>
    </w:p>
    <w:p w14:paraId="5505C78F" w14:textId="77777777" w:rsidR="00C238FE" w:rsidRPr="00C238FE" w:rsidRDefault="00C238FE" w:rsidP="00C238FE">
      <w:r w:rsidRPr="00C238FE">
        <w:t>Failure to comply with this policy may result in:</w:t>
      </w:r>
    </w:p>
    <w:p w14:paraId="59C5A84B" w14:textId="77777777" w:rsidR="00C238FE" w:rsidRPr="00C238FE" w:rsidRDefault="00C238FE" w:rsidP="00C238FE">
      <w:pPr>
        <w:numPr>
          <w:ilvl w:val="0"/>
          <w:numId w:val="15"/>
        </w:numPr>
      </w:pPr>
      <w:r w:rsidRPr="00C238FE">
        <w:t>Immediate revocation of lab access</w:t>
      </w:r>
    </w:p>
    <w:p w14:paraId="0ED61BF1" w14:textId="77777777" w:rsidR="00C238FE" w:rsidRPr="00C238FE" w:rsidRDefault="00C238FE" w:rsidP="00C238FE">
      <w:pPr>
        <w:numPr>
          <w:ilvl w:val="0"/>
          <w:numId w:val="15"/>
        </w:numPr>
      </w:pPr>
      <w:r w:rsidRPr="00C238FE">
        <w:t>Suspension of outreach or visitor privileges</w:t>
      </w:r>
    </w:p>
    <w:p w14:paraId="46FAA618" w14:textId="77777777" w:rsidR="00C238FE" w:rsidRPr="00C238FE" w:rsidRDefault="00C238FE" w:rsidP="00C238FE">
      <w:pPr>
        <w:numPr>
          <w:ilvl w:val="0"/>
          <w:numId w:val="15"/>
        </w:numPr>
      </w:pPr>
      <w:r w:rsidRPr="00C238FE">
        <w:t>Disciplinary action per university policy</w:t>
      </w:r>
    </w:p>
    <w:p w14:paraId="18C2D3BE" w14:textId="2445605B" w:rsidR="00C238FE" w:rsidRPr="00C238FE" w:rsidRDefault="00C238FE" w:rsidP="00C238FE"/>
    <w:p w14:paraId="0541DE84" w14:textId="77777777" w:rsidR="00C238FE" w:rsidRPr="00C238FE" w:rsidRDefault="00C238FE" w:rsidP="00C238FE">
      <w:pPr>
        <w:rPr>
          <w:b/>
          <w:bCs/>
        </w:rPr>
      </w:pPr>
      <w:r w:rsidRPr="00C238FE">
        <w:rPr>
          <w:b/>
          <w:bCs/>
        </w:rPr>
        <w:t>14. Exceptions</w:t>
      </w:r>
    </w:p>
    <w:p w14:paraId="4B023429" w14:textId="77777777" w:rsidR="00C238FE" w:rsidRPr="00C238FE" w:rsidRDefault="00C238FE" w:rsidP="00C238FE">
      <w:r w:rsidRPr="00C238FE">
        <w:t>Any exception to this policy must be:</w:t>
      </w:r>
    </w:p>
    <w:p w14:paraId="2E97EA4D" w14:textId="77777777" w:rsidR="00C238FE" w:rsidRPr="00C238FE" w:rsidRDefault="00C238FE" w:rsidP="00C238FE">
      <w:pPr>
        <w:numPr>
          <w:ilvl w:val="0"/>
          <w:numId w:val="16"/>
        </w:numPr>
      </w:pPr>
      <w:r w:rsidRPr="00C238FE">
        <w:t>Justified in writing</w:t>
      </w:r>
    </w:p>
    <w:p w14:paraId="15046AE9" w14:textId="7A59C418" w:rsidR="00C238FE" w:rsidRPr="00C238FE" w:rsidRDefault="00C238FE" w:rsidP="00C238FE">
      <w:pPr>
        <w:numPr>
          <w:ilvl w:val="0"/>
          <w:numId w:val="16"/>
        </w:numPr>
      </w:pPr>
      <w:r w:rsidRPr="00C238FE">
        <w:t xml:space="preserve">Approved by EHS and College leadership </w:t>
      </w:r>
      <w:r w:rsidRPr="00C238FE">
        <w:rPr>
          <w:b/>
          <w:bCs/>
        </w:rPr>
        <w:t>before access occurs</w:t>
      </w:r>
    </w:p>
    <w:p w14:paraId="1E087FE8" w14:textId="77777777" w:rsidR="00186AA1" w:rsidRDefault="00186AA1"/>
    <w:sectPr w:rsidR="00186A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6DF4" w14:textId="77777777" w:rsidR="00B91D7A" w:rsidRDefault="00B91D7A" w:rsidP="00955E42">
      <w:pPr>
        <w:spacing w:after="0" w:line="240" w:lineRule="auto"/>
      </w:pPr>
      <w:r>
        <w:separator/>
      </w:r>
    </w:p>
  </w:endnote>
  <w:endnote w:type="continuationSeparator" w:id="0">
    <w:p w14:paraId="0F67A30E" w14:textId="77777777" w:rsidR="00B91D7A" w:rsidRDefault="00B91D7A" w:rsidP="0095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C3AE" w14:textId="77777777" w:rsidR="00B91D7A" w:rsidRDefault="00B91D7A" w:rsidP="00955E42">
      <w:pPr>
        <w:spacing w:after="0" w:line="240" w:lineRule="auto"/>
      </w:pPr>
      <w:r>
        <w:separator/>
      </w:r>
    </w:p>
  </w:footnote>
  <w:footnote w:type="continuationSeparator" w:id="0">
    <w:p w14:paraId="53EF3A8D" w14:textId="77777777" w:rsidR="00B91D7A" w:rsidRDefault="00B91D7A" w:rsidP="0095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4299" w14:textId="5AEF669F" w:rsidR="00955E42" w:rsidRDefault="00955E42" w:rsidP="00955E42">
    <w:pPr>
      <w:pStyle w:val="Header"/>
      <w:jc w:val="center"/>
    </w:pPr>
    <w:r>
      <w:rPr>
        <w:noProof/>
      </w:rPr>
      <w:drawing>
        <wp:inline distT="0" distB="0" distL="0" distR="0" wp14:anchorId="70118B62" wp14:editId="5E0AB745">
          <wp:extent cx="2944495" cy="932815"/>
          <wp:effectExtent l="0" t="0" r="8255" b="635"/>
          <wp:docPr id="402077718" name="Picture 1" descr="California State University Long Beach College of Engineer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77718" name="Picture 1" descr="California State University Long Beach College of Engineerin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B71"/>
    <w:multiLevelType w:val="multilevel"/>
    <w:tmpl w:val="B2C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1341"/>
    <w:multiLevelType w:val="multilevel"/>
    <w:tmpl w:val="C73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307C"/>
    <w:multiLevelType w:val="multilevel"/>
    <w:tmpl w:val="A0D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66588"/>
    <w:multiLevelType w:val="hybridMultilevel"/>
    <w:tmpl w:val="E364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409E4"/>
    <w:multiLevelType w:val="hybridMultilevel"/>
    <w:tmpl w:val="B6D6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5F57"/>
    <w:multiLevelType w:val="multilevel"/>
    <w:tmpl w:val="A86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03F25"/>
    <w:multiLevelType w:val="hybridMultilevel"/>
    <w:tmpl w:val="6248F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CB514D"/>
    <w:multiLevelType w:val="multilevel"/>
    <w:tmpl w:val="5C8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73592"/>
    <w:multiLevelType w:val="multilevel"/>
    <w:tmpl w:val="B46E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51F49"/>
    <w:multiLevelType w:val="multilevel"/>
    <w:tmpl w:val="F9B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A59A8"/>
    <w:multiLevelType w:val="multilevel"/>
    <w:tmpl w:val="8D9C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C3FC2"/>
    <w:multiLevelType w:val="multilevel"/>
    <w:tmpl w:val="6C98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31207"/>
    <w:multiLevelType w:val="multilevel"/>
    <w:tmpl w:val="9E78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993EEC"/>
    <w:multiLevelType w:val="multilevel"/>
    <w:tmpl w:val="3DD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95EA9"/>
    <w:multiLevelType w:val="multilevel"/>
    <w:tmpl w:val="7B10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D5F8D"/>
    <w:multiLevelType w:val="multilevel"/>
    <w:tmpl w:val="E600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7040F"/>
    <w:multiLevelType w:val="multilevel"/>
    <w:tmpl w:val="DDB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9181B"/>
    <w:multiLevelType w:val="multilevel"/>
    <w:tmpl w:val="FF9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76CAF"/>
    <w:multiLevelType w:val="multilevel"/>
    <w:tmpl w:val="676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93226">
    <w:abstractNumId w:val="5"/>
  </w:num>
  <w:num w:numId="2" w16cid:durableId="2003698035">
    <w:abstractNumId w:val="1"/>
  </w:num>
  <w:num w:numId="3" w16cid:durableId="1276209510">
    <w:abstractNumId w:val="12"/>
  </w:num>
  <w:num w:numId="4" w16cid:durableId="1416048152">
    <w:abstractNumId w:val="13"/>
  </w:num>
  <w:num w:numId="5" w16cid:durableId="1821457075">
    <w:abstractNumId w:val="2"/>
  </w:num>
  <w:num w:numId="6" w16cid:durableId="611207740">
    <w:abstractNumId w:val="8"/>
  </w:num>
  <w:num w:numId="7" w16cid:durableId="583035258">
    <w:abstractNumId w:val="7"/>
  </w:num>
  <w:num w:numId="8" w16cid:durableId="1715618588">
    <w:abstractNumId w:val="10"/>
  </w:num>
  <w:num w:numId="9" w16cid:durableId="1027414594">
    <w:abstractNumId w:val="11"/>
  </w:num>
  <w:num w:numId="10" w16cid:durableId="1264604737">
    <w:abstractNumId w:val="0"/>
  </w:num>
  <w:num w:numId="11" w16cid:durableId="915168344">
    <w:abstractNumId w:val="15"/>
  </w:num>
  <w:num w:numId="12" w16cid:durableId="398017496">
    <w:abstractNumId w:val="16"/>
  </w:num>
  <w:num w:numId="13" w16cid:durableId="621032389">
    <w:abstractNumId w:val="17"/>
  </w:num>
  <w:num w:numId="14" w16cid:durableId="1189370148">
    <w:abstractNumId w:val="9"/>
  </w:num>
  <w:num w:numId="15" w16cid:durableId="624847053">
    <w:abstractNumId w:val="18"/>
  </w:num>
  <w:num w:numId="16" w16cid:durableId="67774450">
    <w:abstractNumId w:val="14"/>
  </w:num>
  <w:num w:numId="17" w16cid:durableId="2138722460">
    <w:abstractNumId w:val="6"/>
  </w:num>
  <w:num w:numId="18" w16cid:durableId="2062972822">
    <w:abstractNumId w:val="3"/>
  </w:num>
  <w:num w:numId="19" w16cid:durableId="503012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FE"/>
    <w:rsid w:val="00083469"/>
    <w:rsid w:val="00090A0D"/>
    <w:rsid w:val="000B4CA0"/>
    <w:rsid w:val="000E5756"/>
    <w:rsid w:val="000E7EA7"/>
    <w:rsid w:val="00153DB8"/>
    <w:rsid w:val="00186AA1"/>
    <w:rsid w:val="00222FDE"/>
    <w:rsid w:val="00267398"/>
    <w:rsid w:val="002C1307"/>
    <w:rsid w:val="002F1D1F"/>
    <w:rsid w:val="00433E73"/>
    <w:rsid w:val="00444679"/>
    <w:rsid w:val="004D3E67"/>
    <w:rsid w:val="004F09AA"/>
    <w:rsid w:val="00527271"/>
    <w:rsid w:val="005F7468"/>
    <w:rsid w:val="00666A6C"/>
    <w:rsid w:val="00691CFC"/>
    <w:rsid w:val="006B2B28"/>
    <w:rsid w:val="006C2DDC"/>
    <w:rsid w:val="006E7DAA"/>
    <w:rsid w:val="006F4AE0"/>
    <w:rsid w:val="00706384"/>
    <w:rsid w:val="007D34CC"/>
    <w:rsid w:val="00821CD4"/>
    <w:rsid w:val="00833B3E"/>
    <w:rsid w:val="008410E9"/>
    <w:rsid w:val="00886FB6"/>
    <w:rsid w:val="008A3A49"/>
    <w:rsid w:val="008C2712"/>
    <w:rsid w:val="008D0C31"/>
    <w:rsid w:val="00955E42"/>
    <w:rsid w:val="00A52001"/>
    <w:rsid w:val="00A56668"/>
    <w:rsid w:val="00AB5590"/>
    <w:rsid w:val="00B25C43"/>
    <w:rsid w:val="00B553E4"/>
    <w:rsid w:val="00B72A00"/>
    <w:rsid w:val="00B91D7A"/>
    <w:rsid w:val="00BB11A8"/>
    <w:rsid w:val="00BF4CDC"/>
    <w:rsid w:val="00C238FE"/>
    <w:rsid w:val="00C85A23"/>
    <w:rsid w:val="00CB1FA4"/>
    <w:rsid w:val="00CD5DC0"/>
    <w:rsid w:val="00D44737"/>
    <w:rsid w:val="00D52B94"/>
    <w:rsid w:val="00D554C9"/>
    <w:rsid w:val="00EC5FB0"/>
    <w:rsid w:val="00F1721F"/>
    <w:rsid w:val="00FA2E69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D0BB"/>
  <w15:chartTrackingRefBased/>
  <w15:docId w15:val="{ACCA007B-7A55-464A-B5AC-6298F18B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42"/>
  </w:style>
  <w:style w:type="paragraph" w:styleId="Footer">
    <w:name w:val="footer"/>
    <w:basedOn w:val="Normal"/>
    <w:link w:val="FooterChar"/>
    <w:uiPriority w:val="99"/>
    <w:unhideWhenUsed/>
    <w:rsid w:val="0095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Vallejo</dc:creator>
  <cp:keywords/>
  <dc:description/>
  <cp:lastModifiedBy>Javier Guzman</cp:lastModifiedBy>
  <cp:revision>2</cp:revision>
  <dcterms:created xsi:type="dcterms:W3CDTF">2026-06-11T03:20:00Z</dcterms:created>
  <dcterms:modified xsi:type="dcterms:W3CDTF">2026-06-11T03:20:00Z</dcterms:modified>
</cp:coreProperties>
</file>