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919" w:val="left" w:leader="none"/>
        </w:tabs>
        <w:spacing w:before="83"/>
        <w:ind w:left="0" w:right="137" w:firstLine="0"/>
        <w:jc w:val="right"/>
        <w:rPr>
          <w:b/>
          <w:sz w:val="20"/>
        </w:rPr>
      </w:pPr>
      <w:r>
        <w:rPr>
          <w:b/>
          <w:color w:val="333333"/>
          <w:sz w:val="20"/>
        </w:rPr>
        <w:t>California</w:t>
      </w:r>
      <w:r>
        <w:rPr>
          <w:b/>
          <w:color w:val="333333"/>
          <w:spacing w:val="-6"/>
          <w:sz w:val="20"/>
        </w:rPr>
        <w:t> </w:t>
      </w:r>
      <w:r>
        <w:rPr>
          <w:b/>
          <w:color w:val="333333"/>
          <w:sz w:val="20"/>
        </w:rPr>
        <w:t>State</w:t>
      </w:r>
      <w:r>
        <w:rPr>
          <w:b/>
          <w:color w:val="333333"/>
          <w:spacing w:val="-6"/>
          <w:sz w:val="20"/>
        </w:rPr>
        <w:t> </w:t>
      </w:r>
      <w:r>
        <w:rPr>
          <w:b/>
          <w:color w:val="333333"/>
          <w:sz w:val="20"/>
        </w:rPr>
        <w:t>University,</w:t>
      </w:r>
      <w:r>
        <w:rPr>
          <w:b/>
          <w:color w:val="333333"/>
          <w:spacing w:val="-5"/>
          <w:sz w:val="20"/>
        </w:rPr>
        <w:t> </w:t>
      </w:r>
      <w:r>
        <w:rPr>
          <w:b/>
          <w:color w:val="333333"/>
          <w:sz w:val="20"/>
        </w:rPr>
        <w:t>Long</w:t>
      </w:r>
      <w:r>
        <w:rPr>
          <w:b/>
          <w:color w:val="333333"/>
          <w:spacing w:val="-4"/>
          <w:sz w:val="20"/>
        </w:rPr>
        <w:t> </w:t>
      </w:r>
      <w:r>
        <w:rPr>
          <w:b/>
          <w:color w:val="333333"/>
          <w:spacing w:val="-2"/>
          <w:sz w:val="20"/>
        </w:rPr>
        <w:t>Beach</w:t>
      </w:r>
      <w:r>
        <w:rPr>
          <w:b/>
          <w:color w:val="333333"/>
          <w:sz w:val="20"/>
        </w:rPr>
        <w:tab/>
        <w:t>Policy</w:t>
      </w:r>
      <w:r>
        <w:rPr>
          <w:b/>
          <w:color w:val="333333"/>
          <w:spacing w:val="-6"/>
          <w:sz w:val="20"/>
        </w:rPr>
        <w:t> </w:t>
      </w:r>
      <w:r>
        <w:rPr>
          <w:b/>
          <w:color w:val="333333"/>
          <w:spacing w:val="-2"/>
          <w:sz w:val="20"/>
        </w:rPr>
        <w:t>Statement</w:t>
      </w:r>
    </w:p>
    <w:p>
      <w:pPr>
        <w:pStyle w:val="BodyText"/>
        <w:spacing w:before="7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759459</wp:posOffset>
                </wp:positionH>
                <wp:positionV relativeFrom="paragraph">
                  <wp:posOffset>120607</wp:posOffset>
                </wp:positionV>
                <wp:extent cx="6255385" cy="381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55385" cy="3810"/>
                          <a:chExt cx="6255385" cy="38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70"/>
                            <a:ext cx="6255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5385" h="1270">
                                <a:moveTo>
                                  <a:pt x="625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6254762" y="1270"/>
                                </a:lnTo>
                                <a:lnTo>
                                  <a:pt x="625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5538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5385" h="3810">
                                <a:moveTo>
                                  <a:pt x="6252184" y="0"/>
                                </a:moveTo>
                                <a:lnTo>
                                  <a:pt x="2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6252184" y="3810"/>
                                </a:lnTo>
                                <a:lnTo>
                                  <a:pt x="6252184" y="2540"/>
                                </a:lnTo>
                                <a:lnTo>
                                  <a:pt x="6252184" y="1270"/>
                                </a:lnTo>
                                <a:lnTo>
                                  <a:pt x="6252184" y="0"/>
                                </a:lnTo>
                                <a:close/>
                              </a:path>
                              <a:path w="6255385" h="3810">
                                <a:moveTo>
                                  <a:pt x="6254762" y="0"/>
                                </a:moveTo>
                                <a:lnTo>
                                  <a:pt x="6252210" y="0"/>
                                </a:lnTo>
                                <a:lnTo>
                                  <a:pt x="6252210" y="1270"/>
                                </a:lnTo>
                                <a:lnTo>
                                  <a:pt x="6252210" y="2540"/>
                                </a:lnTo>
                                <a:lnTo>
                                  <a:pt x="6252210" y="3810"/>
                                </a:lnTo>
                                <a:lnTo>
                                  <a:pt x="6254762" y="3810"/>
                                </a:lnTo>
                                <a:lnTo>
                                  <a:pt x="6254762" y="2540"/>
                                </a:lnTo>
                                <a:lnTo>
                                  <a:pt x="6254762" y="1270"/>
                                </a:lnTo>
                                <a:lnTo>
                                  <a:pt x="625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9999pt;margin-top:9.496679pt;width:492.55pt;height:.3pt;mso-position-horizontal-relative:page;mso-position-vertical-relative:paragraph;z-index:-15728640;mso-wrap-distance-left:0;mso-wrap-distance-right:0" id="docshapegroup2" coordorigin="1196,190" coordsize="9851,6">
                <v:rect style="position:absolute;left:1196;top:191;width:9851;height:2" id="docshape3" filled="true" fillcolor="#808080" stroked="false">
                  <v:fill type="solid"/>
                </v:rect>
                <v:shape style="position:absolute;left:1196;top:189;width:9851;height:6" id="docshape4" coordorigin="1196,190" coordsize="9851,6" path="m11042,190l1200,190,1200,190,1196,190,1196,192,1196,194,1196,196,1200,196,1200,196,11042,196,11042,194,11042,192,11042,190xm11046,190l11042,190,11042,192,11042,194,11042,196,11046,196,11046,194,11046,192,11046,190xe" filled="true" fillcolor="#9f9f9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47"/>
        <w:ind w:left="0" w:right="115" w:firstLine="0"/>
        <w:jc w:val="right"/>
        <w:rPr>
          <w:b/>
          <w:sz w:val="20"/>
        </w:rPr>
      </w:pPr>
      <w:r>
        <w:rPr>
          <w:b/>
          <w:color w:val="333333"/>
          <w:spacing w:val="-2"/>
          <w:sz w:val="20"/>
        </w:rPr>
        <w:t>25-</w:t>
      </w:r>
      <w:r>
        <w:rPr>
          <w:b/>
          <w:color w:val="333333"/>
          <w:spacing w:val="-5"/>
          <w:sz w:val="20"/>
        </w:rPr>
        <w:t>22</w:t>
      </w:r>
    </w:p>
    <w:p>
      <w:pPr>
        <w:pStyle w:val="BodyText"/>
        <w:spacing w:before="1"/>
        <w:ind w:right="112"/>
        <w:jc w:val="right"/>
      </w:pPr>
      <w:r>
        <w:rPr>
          <w:color w:val="333333"/>
        </w:rPr>
        <w:t>October</w:t>
      </w:r>
      <w:r>
        <w:rPr>
          <w:color w:val="333333"/>
          <w:spacing w:val="-4"/>
        </w:rPr>
        <w:t> </w:t>
      </w:r>
      <w:r>
        <w:rPr>
          <w:color w:val="333333"/>
        </w:rPr>
        <w:t>6,</w:t>
      </w:r>
      <w:r>
        <w:rPr>
          <w:color w:val="333333"/>
          <w:spacing w:val="-3"/>
        </w:rPr>
        <w:t> </w:t>
      </w:r>
      <w:r>
        <w:rPr>
          <w:color w:val="333333"/>
          <w:spacing w:val="-4"/>
        </w:rPr>
        <w:t>2025</w:t>
      </w:r>
    </w:p>
    <w:p>
      <w:pPr>
        <w:pStyle w:val="BodyText"/>
      </w:pPr>
    </w:p>
    <w:p>
      <w:pPr>
        <w:pStyle w:val="BodyText"/>
        <w:spacing w:before="64"/>
      </w:pPr>
    </w:p>
    <w:p>
      <w:pPr>
        <w:spacing w:before="0"/>
        <w:ind w:left="154" w:right="152" w:firstLine="0"/>
        <w:jc w:val="center"/>
        <w:rPr>
          <w:b/>
          <w:sz w:val="20"/>
        </w:rPr>
      </w:pPr>
      <w:r>
        <w:rPr>
          <w:b/>
          <w:color w:val="333333"/>
          <w:sz w:val="20"/>
        </w:rPr>
        <w:t>DEADLINE</w:t>
      </w:r>
      <w:r>
        <w:rPr>
          <w:b/>
          <w:color w:val="333333"/>
          <w:spacing w:val="-6"/>
          <w:sz w:val="20"/>
        </w:rPr>
        <w:t> </w:t>
      </w:r>
      <w:r>
        <w:rPr>
          <w:b/>
          <w:color w:val="333333"/>
          <w:sz w:val="20"/>
        </w:rPr>
        <w:t>FOR</w:t>
      </w:r>
      <w:r>
        <w:rPr>
          <w:b/>
          <w:color w:val="333333"/>
          <w:spacing w:val="-4"/>
          <w:sz w:val="20"/>
        </w:rPr>
        <w:t> </w:t>
      </w:r>
      <w:r>
        <w:rPr>
          <w:b/>
          <w:color w:val="333333"/>
          <w:sz w:val="20"/>
        </w:rPr>
        <w:t>ADDING</w:t>
      </w:r>
      <w:r>
        <w:rPr>
          <w:b/>
          <w:color w:val="333333"/>
          <w:spacing w:val="-3"/>
          <w:sz w:val="20"/>
        </w:rPr>
        <w:t> </w:t>
      </w:r>
      <w:r>
        <w:rPr>
          <w:b/>
          <w:color w:val="333333"/>
          <w:sz w:val="20"/>
        </w:rPr>
        <w:t>CLASSES</w:t>
      </w:r>
      <w:r>
        <w:rPr>
          <w:b/>
          <w:color w:val="333333"/>
          <w:spacing w:val="-4"/>
          <w:sz w:val="20"/>
        </w:rPr>
        <w:t> </w:t>
      </w:r>
      <w:r>
        <w:rPr>
          <w:b/>
          <w:color w:val="333333"/>
          <w:sz w:val="20"/>
        </w:rPr>
        <w:t>AND</w:t>
      </w:r>
      <w:r>
        <w:rPr>
          <w:b/>
          <w:color w:val="333333"/>
          <w:spacing w:val="-4"/>
          <w:sz w:val="20"/>
        </w:rPr>
        <w:t> </w:t>
      </w:r>
      <w:r>
        <w:rPr>
          <w:b/>
          <w:color w:val="333333"/>
          <w:sz w:val="20"/>
        </w:rPr>
        <w:t>IMPLICATIONS</w:t>
      </w:r>
      <w:r>
        <w:rPr>
          <w:b/>
          <w:color w:val="333333"/>
          <w:spacing w:val="-3"/>
          <w:sz w:val="20"/>
        </w:rPr>
        <w:t> </w:t>
      </w:r>
      <w:r>
        <w:rPr>
          <w:b/>
          <w:color w:val="333333"/>
          <w:sz w:val="20"/>
        </w:rPr>
        <w:t>OF</w:t>
      </w:r>
      <w:r>
        <w:rPr>
          <w:b/>
          <w:color w:val="333333"/>
          <w:spacing w:val="-4"/>
          <w:sz w:val="20"/>
        </w:rPr>
        <w:t> </w:t>
      </w:r>
      <w:r>
        <w:rPr>
          <w:b/>
          <w:color w:val="333333"/>
          <w:sz w:val="20"/>
        </w:rPr>
        <w:t>ADDING</w:t>
      </w:r>
      <w:r>
        <w:rPr>
          <w:b/>
          <w:color w:val="333333"/>
          <w:spacing w:val="-4"/>
          <w:sz w:val="20"/>
        </w:rPr>
        <w:t> </w:t>
      </w:r>
      <w:r>
        <w:rPr>
          <w:b/>
          <w:color w:val="333333"/>
          <w:sz w:val="20"/>
        </w:rPr>
        <w:t>CLASSES</w:t>
      </w:r>
      <w:r>
        <w:rPr>
          <w:b/>
          <w:color w:val="333333"/>
          <w:spacing w:val="-3"/>
          <w:sz w:val="20"/>
        </w:rPr>
        <w:t> </w:t>
      </w:r>
      <w:r>
        <w:rPr>
          <w:b/>
          <w:color w:val="333333"/>
          <w:spacing w:val="-4"/>
          <w:sz w:val="20"/>
        </w:rPr>
        <w:t>LATE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154" w:right="152"/>
        <w:jc w:val="center"/>
      </w:pPr>
      <w:r>
        <w:rPr>
          <w:color w:val="333333"/>
        </w:rPr>
        <w:t>This</w:t>
      </w:r>
      <w:r>
        <w:rPr>
          <w:color w:val="333333"/>
          <w:spacing w:val="-4"/>
        </w:rPr>
        <w:t> </w:t>
      </w:r>
      <w:r>
        <w:rPr>
          <w:color w:val="333333"/>
        </w:rPr>
        <w:t>Policy</w:t>
      </w:r>
      <w:r>
        <w:rPr>
          <w:color w:val="333333"/>
          <w:spacing w:val="-4"/>
        </w:rPr>
        <w:t> </w:t>
      </w:r>
      <w:r>
        <w:rPr>
          <w:color w:val="333333"/>
        </w:rPr>
        <w:t>Statement</w:t>
      </w:r>
      <w:r>
        <w:rPr>
          <w:color w:val="333333"/>
          <w:spacing w:val="-5"/>
        </w:rPr>
        <w:t> </w:t>
      </w:r>
      <w:r>
        <w:rPr>
          <w:color w:val="333333"/>
        </w:rPr>
        <w:t>was</w:t>
      </w:r>
      <w:r>
        <w:rPr>
          <w:color w:val="333333"/>
          <w:spacing w:val="-4"/>
        </w:rPr>
        <w:t> </w:t>
      </w:r>
      <w:r>
        <w:rPr>
          <w:color w:val="333333"/>
        </w:rPr>
        <w:t>revised</w:t>
      </w:r>
      <w:r>
        <w:rPr>
          <w:color w:val="333333"/>
          <w:spacing w:val="-4"/>
        </w:rPr>
        <w:t> </w:t>
      </w:r>
      <w:r>
        <w:rPr>
          <w:color w:val="333333"/>
        </w:rPr>
        <w:t>by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Academic</w:t>
      </w:r>
      <w:r>
        <w:rPr>
          <w:color w:val="333333"/>
          <w:spacing w:val="-2"/>
        </w:rPr>
        <w:t> </w:t>
      </w:r>
      <w:r>
        <w:rPr>
          <w:color w:val="333333"/>
        </w:rPr>
        <w:t>Senate</w:t>
      </w:r>
      <w:r>
        <w:rPr>
          <w:color w:val="333333"/>
          <w:spacing w:val="-1"/>
        </w:rPr>
        <w:t> </w:t>
      </w:r>
      <w:r>
        <w:rPr>
          <w:color w:val="333333"/>
        </w:rPr>
        <w:t>on</w:t>
      </w:r>
      <w:r>
        <w:rPr>
          <w:color w:val="333333"/>
          <w:spacing w:val="-4"/>
        </w:rPr>
        <w:t> </w:t>
      </w:r>
      <w:r>
        <w:rPr>
          <w:color w:val="333333"/>
        </w:rPr>
        <w:t>September</w:t>
      </w:r>
      <w:r>
        <w:rPr>
          <w:color w:val="333333"/>
          <w:spacing w:val="-3"/>
        </w:rPr>
        <w:t> </w:t>
      </w:r>
      <w:r>
        <w:rPr>
          <w:color w:val="333333"/>
        </w:rPr>
        <w:t>25,</w:t>
      </w:r>
      <w:r>
        <w:rPr>
          <w:color w:val="333333"/>
          <w:spacing w:val="-5"/>
        </w:rPr>
        <w:t> </w:t>
      </w:r>
      <w:r>
        <w:rPr>
          <w:color w:val="333333"/>
        </w:rPr>
        <w:t>2025,</w:t>
      </w:r>
      <w:r>
        <w:rPr>
          <w:color w:val="333333"/>
          <w:spacing w:val="-4"/>
        </w:rPr>
        <w:t> </w:t>
      </w:r>
      <w:r>
        <w:rPr>
          <w:color w:val="333333"/>
        </w:rPr>
        <w:t>and approved by the President on October 3, 2026.</w:t>
      </w:r>
    </w:p>
    <w:p>
      <w:pPr>
        <w:pStyle w:val="BodyText"/>
        <w:ind w:left="154" w:right="154"/>
        <w:jc w:val="center"/>
      </w:pPr>
      <w:r>
        <w:rPr>
          <w:color w:val="333333"/>
        </w:rPr>
        <w:t>(supersedes</w:t>
      </w:r>
      <w:r>
        <w:rPr>
          <w:color w:val="333333"/>
          <w:spacing w:val="-4"/>
        </w:rPr>
        <w:t> </w:t>
      </w:r>
      <w:r>
        <w:rPr>
          <w:color w:val="333333"/>
        </w:rPr>
        <w:t>PS</w:t>
      </w:r>
      <w:r>
        <w:rPr>
          <w:color w:val="333333"/>
          <w:spacing w:val="-4"/>
        </w:rPr>
        <w:t> </w:t>
      </w:r>
      <w:r>
        <w:rPr>
          <w:color w:val="333333"/>
        </w:rPr>
        <w:t>75-02</w:t>
      </w:r>
      <w:r>
        <w:rPr>
          <w:color w:val="333333"/>
          <w:spacing w:val="-2"/>
        </w:rPr>
        <w:t> </w:t>
      </w:r>
      <w:r>
        <w:rPr>
          <w:color w:val="333333"/>
        </w:rPr>
        <w:t>and</w:t>
      </w:r>
      <w:r>
        <w:rPr>
          <w:color w:val="333333"/>
          <w:spacing w:val="-3"/>
        </w:rPr>
        <w:t> </w:t>
      </w:r>
      <w:r>
        <w:rPr>
          <w:color w:val="333333"/>
        </w:rPr>
        <w:t>85-</w:t>
      </w:r>
      <w:r>
        <w:rPr>
          <w:color w:val="333333"/>
          <w:spacing w:val="-4"/>
        </w:rPr>
        <w:t>05).</w:t>
      </w:r>
    </w:p>
    <w:p>
      <w:pPr>
        <w:pStyle w:val="BodyText"/>
      </w:pPr>
    </w:p>
    <w:p>
      <w:pPr>
        <w:pStyle w:val="BodyText"/>
        <w:ind w:left="116" w:right="100"/>
      </w:pPr>
      <w:r>
        <w:rPr>
          <w:color w:val="333333"/>
        </w:rPr>
        <w:t>Students</w:t>
      </w:r>
      <w:r>
        <w:rPr>
          <w:color w:val="333333"/>
          <w:spacing w:val="-4"/>
        </w:rPr>
        <w:t> </w:t>
      </w:r>
      <w:r>
        <w:rPr>
          <w:color w:val="333333"/>
        </w:rPr>
        <w:t>may</w:t>
      </w:r>
      <w:r>
        <w:rPr>
          <w:color w:val="333333"/>
          <w:spacing w:val="-2"/>
        </w:rPr>
        <w:t> </w:t>
      </w:r>
      <w:r>
        <w:rPr>
          <w:color w:val="333333"/>
        </w:rPr>
        <w:t>continue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add</w:t>
      </w:r>
      <w:r>
        <w:rPr>
          <w:color w:val="333333"/>
          <w:spacing w:val="-4"/>
        </w:rPr>
        <w:t> </w:t>
      </w:r>
      <w:r>
        <w:rPr>
          <w:color w:val="333333"/>
        </w:rPr>
        <w:t>classes</w:t>
      </w:r>
      <w:r>
        <w:rPr>
          <w:color w:val="333333"/>
          <w:spacing w:val="-2"/>
        </w:rPr>
        <w:t> </w:t>
      </w:r>
      <w:r>
        <w:rPr>
          <w:color w:val="333333"/>
        </w:rPr>
        <w:t>via</w:t>
      </w:r>
      <w:r>
        <w:rPr>
          <w:color w:val="333333"/>
          <w:spacing w:val="-4"/>
        </w:rPr>
        <w:t> </w:t>
      </w:r>
      <w:r>
        <w:rPr>
          <w:color w:val="333333"/>
        </w:rPr>
        <w:t>self-service</w:t>
      </w:r>
      <w:r>
        <w:rPr>
          <w:color w:val="333333"/>
          <w:spacing w:val="-3"/>
        </w:rPr>
        <w:t> </w:t>
      </w:r>
      <w:r>
        <w:rPr>
          <w:color w:val="333333"/>
        </w:rPr>
        <w:t>registration</w:t>
      </w:r>
      <w:r>
        <w:rPr>
          <w:color w:val="333333"/>
          <w:spacing w:val="-5"/>
        </w:rPr>
        <w:t> </w:t>
      </w:r>
      <w:r>
        <w:rPr>
          <w:color w:val="333333"/>
        </w:rPr>
        <w:t>for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first</w:t>
      </w:r>
      <w:r>
        <w:rPr>
          <w:color w:val="333333"/>
          <w:spacing w:val="-3"/>
        </w:rPr>
        <w:t> </w:t>
      </w:r>
      <w:r>
        <w:rPr>
          <w:color w:val="333333"/>
        </w:rPr>
        <w:t>two</w:t>
      </w:r>
      <w:r>
        <w:rPr>
          <w:color w:val="333333"/>
          <w:spacing w:val="-3"/>
        </w:rPr>
        <w:t> </w:t>
      </w:r>
      <w:r>
        <w:rPr>
          <w:color w:val="333333"/>
        </w:rPr>
        <w:t>weeks</w:t>
      </w:r>
      <w:r>
        <w:rPr>
          <w:color w:val="333333"/>
          <w:spacing w:val="-4"/>
        </w:rPr>
        <w:t> </w:t>
      </w:r>
      <w:r>
        <w:rPr>
          <w:color w:val="333333"/>
        </w:rPr>
        <w:t>of classes in a regular semester of instruction (13% of non-standard sessions).</w:t>
      </w:r>
    </w:p>
    <w:p>
      <w:pPr>
        <w:pStyle w:val="BodyText"/>
        <w:spacing w:before="33"/>
      </w:pPr>
    </w:p>
    <w:p>
      <w:pPr>
        <w:pStyle w:val="BodyText"/>
        <w:ind w:left="115" w:right="100"/>
      </w:pPr>
      <w:r>
        <w:rPr>
          <w:color w:val="333333"/>
        </w:rPr>
        <w:t>Students</w:t>
      </w:r>
      <w:r>
        <w:rPr>
          <w:color w:val="333333"/>
          <w:spacing w:val="-5"/>
        </w:rPr>
        <w:t> </w:t>
      </w:r>
      <w:r>
        <w:rPr>
          <w:color w:val="333333"/>
        </w:rPr>
        <w:t>may</w:t>
      </w:r>
      <w:r>
        <w:rPr>
          <w:color w:val="333333"/>
          <w:spacing w:val="-3"/>
        </w:rPr>
        <w:t> </w:t>
      </w:r>
      <w:r>
        <w:rPr>
          <w:color w:val="333333"/>
        </w:rPr>
        <w:t>add</w:t>
      </w:r>
      <w:r>
        <w:rPr>
          <w:color w:val="333333"/>
          <w:spacing w:val="-5"/>
        </w:rPr>
        <w:t> </w:t>
      </w:r>
      <w:r>
        <w:rPr>
          <w:color w:val="333333"/>
        </w:rPr>
        <w:t>classes</w:t>
      </w:r>
      <w:r>
        <w:rPr>
          <w:color w:val="333333"/>
          <w:spacing w:val="-5"/>
        </w:rPr>
        <w:t> </w:t>
      </w:r>
      <w:r>
        <w:rPr>
          <w:color w:val="333333"/>
        </w:rPr>
        <w:t>after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self-service</w:t>
      </w:r>
      <w:r>
        <w:rPr>
          <w:color w:val="333333"/>
          <w:spacing w:val="-4"/>
        </w:rPr>
        <w:t> </w:t>
      </w:r>
      <w:r>
        <w:rPr>
          <w:color w:val="333333"/>
        </w:rPr>
        <w:t>registration</w:t>
      </w:r>
      <w:r>
        <w:rPr>
          <w:color w:val="333333"/>
          <w:spacing w:val="-3"/>
        </w:rPr>
        <w:t> </w:t>
      </w:r>
      <w:r>
        <w:rPr>
          <w:color w:val="333333"/>
        </w:rPr>
        <w:t>deadline</w:t>
      </w:r>
      <w:r>
        <w:rPr>
          <w:color w:val="333333"/>
          <w:spacing w:val="-4"/>
        </w:rPr>
        <w:t> </w:t>
      </w:r>
      <w:r>
        <w:rPr>
          <w:color w:val="333333"/>
        </w:rPr>
        <w:t>until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University</w:t>
      </w:r>
      <w:r>
        <w:rPr>
          <w:color w:val="333333"/>
          <w:spacing w:val="-5"/>
        </w:rPr>
        <w:t> </w:t>
      </w:r>
      <w:r>
        <w:rPr>
          <w:color w:val="333333"/>
        </w:rPr>
        <w:t>Census date (27% of non-standard sessions) only with the written permission of the instructor and the Department Chair or Program Director.</w:t>
      </w:r>
    </w:p>
    <w:p>
      <w:pPr>
        <w:pStyle w:val="BodyText"/>
        <w:spacing w:before="243"/>
        <w:ind w:left="116" w:right="100"/>
      </w:pPr>
      <w:r>
        <w:rPr>
          <w:color w:val="333333"/>
        </w:rPr>
        <w:t>Students</w:t>
      </w:r>
      <w:r>
        <w:rPr>
          <w:color w:val="333333"/>
          <w:spacing w:val="-4"/>
        </w:rPr>
        <w:t> </w:t>
      </w:r>
      <w:r>
        <w:rPr>
          <w:color w:val="333333"/>
        </w:rPr>
        <w:t>may</w:t>
      </w:r>
      <w:r>
        <w:rPr>
          <w:color w:val="333333"/>
          <w:spacing w:val="-2"/>
        </w:rPr>
        <w:t> </w:t>
      </w:r>
      <w:r>
        <w:rPr>
          <w:color w:val="333333"/>
        </w:rPr>
        <w:t>add</w:t>
      </w:r>
      <w:r>
        <w:rPr>
          <w:color w:val="333333"/>
          <w:spacing w:val="-4"/>
        </w:rPr>
        <w:t> </w:t>
      </w:r>
      <w:r>
        <w:rPr>
          <w:color w:val="333333"/>
        </w:rPr>
        <w:t>classes</w:t>
      </w:r>
      <w:r>
        <w:rPr>
          <w:color w:val="333333"/>
          <w:spacing w:val="-4"/>
        </w:rPr>
        <w:t> </w:t>
      </w:r>
      <w:r>
        <w:rPr>
          <w:color w:val="333333"/>
        </w:rPr>
        <w:t>after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University</w:t>
      </w:r>
      <w:r>
        <w:rPr>
          <w:color w:val="333333"/>
          <w:spacing w:val="-4"/>
        </w:rPr>
        <w:t> </w:t>
      </w:r>
      <w:r>
        <w:rPr>
          <w:color w:val="333333"/>
        </w:rPr>
        <w:t>Census</w:t>
      </w:r>
      <w:r>
        <w:rPr>
          <w:color w:val="333333"/>
          <w:spacing w:val="-4"/>
        </w:rPr>
        <w:t> </w:t>
      </w:r>
      <w:r>
        <w:rPr>
          <w:color w:val="333333"/>
        </w:rPr>
        <w:t>date</w:t>
      </w:r>
      <w:r>
        <w:rPr>
          <w:color w:val="333333"/>
          <w:spacing w:val="-3"/>
        </w:rPr>
        <w:t> </w:t>
      </w:r>
      <w:r>
        <w:rPr>
          <w:color w:val="333333"/>
        </w:rPr>
        <w:t>or</w:t>
      </w:r>
      <w:r>
        <w:rPr>
          <w:color w:val="333333"/>
          <w:spacing w:val="-3"/>
        </w:rPr>
        <w:t> </w:t>
      </w:r>
      <w:r>
        <w:rPr>
          <w:color w:val="333333"/>
        </w:rPr>
        <w:t>27%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</w:rPr>
        <w:t>non-standard</w:t>
      </w:r>
      <w:r>
        <w:rPr>
          <w:color w:val="333333"/>
          <w:spacing w:val="-4"/>
        </w:rPr>
        <w:t> </w:t>
      </w:r>
      <w:r>
        <w:rPr>
          <w:color w:val="333333"/>
        </w:rPr>
        <w:t>sessions</w:t>
      </w:r>
      <w:r>
        <w:rPr>
          <w:color w:val="333333"/>
          <w:spacing w:val="-4"/>
        </w:rPr>
        <w:t> </w:t>
      </w:r>
      <w:r>
        <w:rPr>
          <w:color w:val="333333"/>
        </w:rPr>
        <w:t>only when there are documented extenuating circumstances, and with written permission of the (a) instructor, (b) Department Chair or Program Director, and (c) College Dean or designee.</w:t>
      </w:r>
    </w:p>
    <w:p>
      <w:pPr>
        <w:pStyle w:val="BodyText"/>
        <w:ind w:left="116" w:right="183"/>
      </w:pPr>
      <w:r>
        <w:rPr>
          <w:color w:val="333333"/>
        </w:rPr>
        <w:t>Documented</w:t>
      </w:r>
      <w:r>
        <w:rPr>
          <w:color w:val="333333"/>
          <w:spacing w:val="-5"/>
        </w:rPr>
        <w:t> </w:t>
      </w:r>
      <w:r>
        <w:rPr>
          <w:color w:val="333333"/>
        </w:rPr>
        <w:t>extenuating</w:t>
      </w:r>
      <w:r>
        <w:rPr>
          <w:color w:val="333333"/>
          <w:spacing w:val="-3"/>
        </w:rPr>
        <w:t> </w:t>
      </w:r>
      <w:r>
        <w:rPr>
          <w:color w:val="333333"/>
        </w:rPr>
        <w:t>circumstances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not</w:t>
      </w:r>
      <w:r>
        <w:rPr>
          <w:color w:val="333333"/>
          <w:spacing w:val="-6"/>
        </w:rPr>
        <w:t> </w:t>
      </w:r>
      <w:r>
        <w:rPr>
          <w:color w:val="333333"/>
        </w:rPr>
        <w:t>mean</w:t>
      </w:r>
      <w:r>
        <w:rPr>
          <w:color w:val="333333"/>
          <w:spacing w:val="-3"/>
        </w:rPr>
        <w:t> </w:t>
      </w:r>
      <w:r>
        <w:rPr>
          <w:color w:val="333333"/>
        </w:rPr>
        <w:t>that</w:t>
      </w:r>
      <w:r>
        <w:rPr>
          <w:color w:val="333333"/>
          <w:spacing w:val="-4"/>
        </w:rPr>
        <w:t> </w:t>
      </w:r>
      <w:r>
        <w:rPr>
          <w:color w:val="333333"/>
        </w:rPr>
        <w:t>students</w:t>
      </w:r>
      <w:r>
        <w:rPr>
          <w:color w:val="333333"/>
          <w:spacing w:val="-3"/>
        </w:rPr>
        <w:t> </w:t>
      </w:r>
      <w:r>
        <w:rPr>
          <w:color w:val="333333"/>
        </w:rPr>
        <w:t>are</w:t>
      </w:r>
      <w:r>
        <w:rPr>
          <w:color w:val="333333"/>
          <w:spacing w:val="-4"/>
        </w:rPr>
        <w:t> </w:t>
      </w:r>
      <w:r>
        <w:rPr>
          <w:color w:val="333333"/>
        </w:rPr>
        <w:t>guaranteed</w:t>
      </w:r>
      <w:r>
        <w:rPr>
          <w:color w:val="333333"/>
          <w:spacing w:val="-5"/>
        </w:rPr>
        <w:t> </w:t>
      </w:r>
      <w:r>
        <w:rPr>
          <w:color w:val="333333"/>
        </w:rPr>
        <w:t>late admission to class.</w:t>
      </w:r>
    </w:p>
    <w:p>
      <w:pPr>
        <w:pStyle w:val="BodyText"/>
        <w:spacing w:before="242"/>
        <w:ind w:left="116" w:right="299"/>
      </w:pPr>
      <w:r>
        <w:rPr>
          <w:color w:val="333333"/>
        </w:rPr>
        <w:t>Students who add a class late remain subject to all regular University rules, including grading procedures,</w:t>
      </w:r>
      <w:r>
        <w:rPr>
          <w:color w:val="333333"/>
          <w:spacing w:val="-5"/>
        </w:rPr>
        <w:t> </w:t>
      </w:r>
      <w:r>
        <w:rPr>
          <w:color w:val="333333"/>
        </w:rPr>
        <w:t>withdrawals,</w:t>
      </w:r>
      <w:r>
        <w:rPr>
          <w:color w:val="333333"/>
          <w:spacing w:val="-5"/>
        </w:rPr>
        <w:t> </w:t>
      </w:r>
      <w:r>
        <w:rPr>
          <w:color w:val="333333"/>
        </w:rPr>
        <w:t>grade</w:t>
      </w:r>
      <w:r>
        <w:rPr>
          <w:color w:val="333333"/>
          <w:spacing w:val="-3"/>
        </w:rPr>
        <w:t> </w:t>
      </w:r>
      <w:r>
        <w:rPr>
          <w:color w:val="333333"/>
        </w:rPr>
        <w:t>appeals,</w:t>
      </w:r>
      <w:r>
        <w:rPr>
          <w:color w:val="333333"/>
          <w:spacing w:val="-5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policies</w:t>
      </w:r>
      <w:r>
        <w:rPr>
          <w:color w:val="333333"/>
          <w:spacing w:val="-4"/>
        </w:rPr>
        <w:t> </w:t>
      </w:r>
      <w:r>
        <w:rPr>
          <w:color w:val="333333"/>
        </w:rPr>
        <w:t>on</w:t>
      </w:r>
      <w:r>
        <w:rPr>
          <w:color w:val="333333"/>
          <w:spacing w:val="-4"/>
        </w:rPr>
        <w:t> </w:t>
      </w:r>
      <w:r>
        <w:rPr>
          <w:color w:val="333333"/>
        </w:rPr>
        <w:t>academic</w:t>
      </w:r>
      <w:r>
        <w:rPr>
          <w:color w:val="333333"/>
          <w:spacing w:val="-4"/>
        </w:rPr>
        <w:t> </w:t>
      </w:r>
      <w:r>
        <w:rPr>
          <w:color w:val="333333"/>
        </w:rPr>
        <w:t>standing</w:t>
      </w:r>
      <w:r>
        <w:rPr>
          <w:color w:val="333333"/>
          <w:spacing w:val="-4"/>
        </w:rPr>
        <w:t> </w:t>
      </w:r>
      <w:r>
        <w:rPr>
          <w:color w:val="333333"/>
        </w:rPr>
        <w:t>and</w:t>
      </w:r>
      <w:r>
        <w:rPr>
          <w:color w:val="333333"/>
          <w:spacing w:val="-4"/>
        </w:rPr>
        <w:t> </w:t>
      </w:r>
      <w:r>
        <w:rPr>
          <w:color w:val="333333"/>
        </w:rPr>
        <w:t>course</w:t>
      </w:r>
      <w:r>
        <w:rPr>
          <w:color w:val="333333"/>
          <w:spacing w:val="-3"/>
        </w:rPr>
        <w:t> </w:t>
      </w:r>
      <w:r>
        <w:rPr>
          <w:color w:val="333333"/>
        </w:rPr>
        <w:t>repeats. Instructors may require students who add a class at any point after the class's start date to make up for the work they have missed.</w:t>
      </w:r>
    </w:p>
    <w:p>
      <w:pPr>
        <w:pStyle w:val="BodyText"/>
        <w:spacing w:before="1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759459</wp:posOffset>
                </wp:positionH>
                <wp:positionV relativeFrom="paragraph">
                  <wp:posOffset>275170</wp:posOffset>
                </wp:positionV>
                <wp:extent cx="6255385" cy="381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255385" cy="3810"/>
                          <a:chExt cx="6255385" cy="38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70"/>
                            <a:ext cx="6255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5385" h="1270">
                                <a:moveTo>
                                  <a:pt x="625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6254762" y="1270"/>
                                </a:lnTo>
                                <a:lnTo>
                                  <a:pt x="625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5538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5385" h="3810">
                                <a:moveTo>
                                  <a:pt x="6252184" y="0"/>
                                </a:moveTo>
                                <a:lnTo>
                                  <a:pt x="2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6252184" y="3810"/>
                                </a:lnTo>
                                <a:lnTo>
                                  <a:pt x="6252184" y="2540"/>
                                </a:lnTo>
                                <a:lnTo>
                                  <a:pt x="6252184" y="1282"/>
                                </a:lnTo>
                                <a:lnTo>
                                  <a:pt x="6252184" y="0"/>
                                </a:lnTo>
                                <a:close/>
                              </a:path>
                              <a:path w="6255385" h="3810">
                                <a:moveTo>
                                  <a:pt x="6254762" y="0"/>
                                </a:moveTo>
                                <a:lnTo>
                                  <a:pt x="6252210" y="0"/>
                                </a:lnTo>
                                <a:lnTo>
                                  <a:pt x="6252210" y="1282"/>
                                </a:lnTo>
                                <a:lnTo>
                                  <a:pt x="6252210" y="2540"/>
                                </a:lnTo>
                                <a:lnTo>
                                  <a:pt x="6252210" y="3810"/>
                                </a:lnTo>
                                <a:lnTo>
                                  <a:pt x="6254762" y="3810"/>
                                </a:lnTo>
                                <a:lnTo>
                                  <a:pt x="6254762" y="2540"/>
                                </a:lnTo>
                                <a:lnTo>
                                  <a:pt x="6254762" y="1282"/>
                                </a:lnTo>
                                <a:lnTo>
                                  <a:pt x="625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9999pt;margin-top:21.666992pt;width:492.55pt;height:.3pt;mso-position-horizontal-relative:page;mso-position-vertical-relative:paragraph;z-index:-15728128;mso-wrap-distance-left:0;mso-wrap-distance-right:0" id="docshapegroup5" coordorigin="1196,433" coordsize="9851,6">
                <v:rect style="position:absolute;left:1196;top:435;width:9851;height:2" id="docshape6" filled="true" fillcolor="#808080" stroked="false">
                  <v:fill type="solid"/>
                </v:rect>
                <v:shape style="position:absolute;left:1196;top:433;width:9851;height:6" id="docshape7" coordorigin="1196,433" coordsize="9851,6" path="m11042,433l1200,433,1200,433,1196,433,1196,435,1196,437,1196,439,1200,439,1200,439,11042,439,11042,437,11042,435,11042,433xm11046,433l11042,433,11042,435,11042,437,11042,439,11046,439,11046,437,11046,435,11046,433xe" filled="true" fillcolor="#9f9f9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47"/>
        <w:ind w:left="115" w:right="0" w:firstLine="0"/>
        <w:jc w:val="left"/>
        <w:rPr>
          <w:b/>
          <w:sz w:val="20"/>
        </w:rPr>
      </w:pPr>
      <w:r>
        <w:rPr>
          <w:b/>
          <w:color w:val="333333"/>
          <w:sz w:val="20"/>
        </w:rPr>
        <w:t>Effective:</w:t>
      </w:r>
      <w:r>
        <w:rPr>
          <w:b/>
          <w:color w:val="333333"/>
          <w:spacing w:val="-4"/>
          <w:sz w:val="20"/>
        </w:rPr>
        <w:t> </w:t>
      </w:r>
      <w:r>
        <w:rPr>
          <w:b/>
          <w:color w:val="333333"/>
          <w:sz w:val="20"/>
        </w:rPr>
        <w:t>Fall</w:t>
      </w:r>
      <w:r>
        <w:rPr>
          <w:b/>
          <w:color w:val="333333"/>
          <w:spacing w:val="-4"/>
          <w:sz w:val="20"/>
        </w:rPr>
        <w:t> 2026</w:t>
      </w:r>
    </w:p>
    <w:sectPr>
      <w:footerReference w:type="default" r:id="rId5"/>
      <w:type w:val="continuous"/>
      <w:pgSz w:w="12240" w:h="15840"/>
      <w:pgMar w:header="0" w:footer="1062" w:top="960" w:bottom="126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3835400</wp:posOffset>
              </wp:positionH>
              <wp:positionV relativeFrom="page">
                <wp:posOffset>9244414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pt;margin-top:727.906616pt;width:8pt;height:15.3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 P. Meng</dc:creator>
  <dc:description/>
  <dc:title>California State University, Long Beach</dc:title>
  <dcterms:created xsi:type="dcterms:W3CDTF">2025-10-16T17:03:48Z</dcterms:created>
  <dcterms:modified xsi:type="dcterms:W3CDTF">2025-10-16T17:03:48Z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0x01010096BEF009AAE41F43A8DCBB88CD782FEA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  <property fmtid="{D5CDD505-2E9C-101B-9397-08002B2CF9AE}" pid="8" name="SourceModified">
    <vt:lpwstr>D:20251006212756</vt:lpwstr>
  </property>
</Properties>
</file>