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  <w:rPr>
          <w:rFonts w:ascii="Times New Roman"/>
        </w:rPr>
      </w:pPr>
    </w:p>
    <w:p>
      <w:pPr>
        <w:pStyle w:val="Heading1"/>
        <w:ind w:right="222"/>
        <w:jc w:val="center"/>
      </w:pPr>
      <w:bookmarkStart w:name="California State University, Long Beach " w:id="1"/>
      <w:bookmarkEnd w:id="1"/>
      <w:r>
        <w:rPr>
          <w:b w:val="0"/>
        </w:rPr>
      </w:r>
      <w:bookmarkStart w:name="Minor in Heavy Civil Construction" w:id="2"/>
      <w:bookmarkEnd w:id="2"/>
      <w:r>
        <w:rPr>
          <w:b w:val="0"/>
        </w:rPr>
      </w:r>
      <w:r>
        <w:rPr>
          <w:color w:val="201E1F"/>
        </w:rPr>
        <w:t>Minor</w:t>
      </w:r>
      <w:r>
        <w:rPr>
          <w:color w:val="201E1F"/>
          <w:spacing w:val="-7"/>
        </w:rPr>
        <w:t> </w:t>
      </w:r>
      <w:r>
        <w:rPr>
          <w:color w:val="201E1F"/>
        </w:rPr>
        <w:t>in</w:t>
      </w:r>
      <w:r>
        <w:rPr>
          <w:color w:val="201E1F"/>
          <w:spacing w:val="-5"/>
        </w:rPr>
        <w:t> </w:t>
      </w:r>
      <w:r>
        <w:rPr>
          <w:color w:val="201E1F"/>
        </w:rPr>
        <w:t>Heavy</w:t>
      </w:r>
      <w:r>
        <w:rPr>
          <w:color w:val="201E1F"/>
          <w:spacing w:val="-5"/>
        </w:rPr>
        <w:t> </w:t>
      </w:r>
      <w:r>
        <w:rPr>
          <w:color w:val="201E1F"/>
        </w:rPr>
        <w:t>Civil</w:t>
      </w:r>
      <w:r>
        <w:rPr>
          <w:color w:val="201E1F"/>
          <w:spacing w:val="-6"/>
        </w:rPr>
        <w:t> </w:t>
      </w:r>
      <w:r>
        <w:rPr>
          <w:color w:val="201E1F"/>
          <w:spacing w:val="-2"/>
        </w:rPr>
        <w:t>Construction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ind w:left="3462" w:hanging="2995"/>
        <w:rPr>
          <w:rFonts w:ascii="Times New Roman"/>
        </w:rPr>
      </w:pPr>
      <w:r>
        <w:rPr>
          <w:rFonts w:ascii="Times New Roman"/>
          <w:color w:val="201E1F"/>
        </w:rPr>
        <w:t>(This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new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minor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was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approved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by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the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CSULB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Academic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Senate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on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May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14,</w:t>
      </w:r>
      <w:r>
        <w:rPr>
          <w:rFonts w:ascii="Times New Roman"/>
          <w:color w:val="201E1F"/>
          <w:spacing w:val="-3"/>
        </w:rPr>
        <w:t> </w:t>
      </w:r>
      <w:r>
        <w:rPr>
          <w:rFonts w:ascii="Times New Roman"/>
          <w:color w:val="201E1F"/>
        </w:rPr>
        <w:t>2025,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and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approved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by</w:t>
      </w:r>
      <w:r>
        <w:rPr>
          <w:rFonts w:ascii="Times New Roman"/>
          <w:color w:val="201E1F"/>
          <w:spacing w:val="-2"/>
        </w:rPr>
        <w:t> </w:t>
      </w:r>
      <w:r>
        <w:rPr>
          <w:rFonts w:ascii="Times New Roman"/>
          <w:color w:val="201E1F"/>
        </w:rPr>
        <w:t>the CSULB President, June 10</w:t>
      </w:r>
      <w:r>
        <w:rPr>
          <w:rFonts w:ascii="Times New Roman"/>
          <w:color w:val="201E1F"/>
          <w:vertAlign w:val="superscript"/>
        </w:rPr>
        <w:t>th</w:t>
      </w:r>
      <w:r>
        <w:rPr>
          <w:rFonts w:ascii="Times New Roman"/>
          <w:color w:val="201E1F"/>
          <w:vertAlign w:val="baseline"/>
        </w:rPr>
        <w:t>, 2025.)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</w:p>
    <w:p>
      <w:pPr>
        <w:pStyle w:val="Heading1"/>
        <w:ind w:left="240"/>
        <w:rPr>
          <w:rFonts w:ascii="Calibri"/>
        </w:rPr>
      </w:pPr>
      <w:r>
        <w:rPr>
          <w:rFonts w:ascii="Calibri"/>
        </w:rPr>
        <w:t>Minor</w:t>
      </w:r>
      <w:r>
        <w:rPr>
          <w:rFonts w:ascii="Calibri"/>
          <w:spacing w:val="-5"/>
        </w:rPr>
        <w:t> </w:t>
      </w:r>
      <w:r>
        <w:rPr>
          <w:rFonts w:ascii="Calibri"/>
        </w:rPr>
        <w:t>in</w:t>
      </w:r>
      <w:r>
        <w:rPr>
          <w:rFonts w:ascii="Calibri"/>
          <w:spacing w:val="-6"/>
        </w:rPr>
        <w:t> </w:t>
      </w:r>
      <w:r>
        <w:rPr>
          <w:rFonts w:ascii="Calibri"/>
        </w:rPr>
        <w:t>Heavy</w:t>
      </w:r>
      <w:r>
        <w:rPr>
          <w:rFonts w:ascii="Calibri"/>
          <w:spacing w:val="-5"/>
        </w:rPr>
        <w:t> </w:t>
      </w:r>
      <w:r>
        <w:rPr>
          <w:rFonts w:ascii="Calibri"/>
        </w:rPr>
        <w:t>Civil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Construction</w:t>
      </w:r>
    </w:p>
    <w:p>
      <w:pPr>
        <w:pStyle w:val="BodyText"/>
        <w:rPr>
          <w:b/>
        </w:rPr>
      </w:pPr>
    </w:p>
    <w:p>
      <w:pPr>
        <w:pStyle w:val="BodyText"/>
        <w:ind w:left="240"/>
      </w:pPr>
      <w:r>
        <w:rPr/>
        <w:t>(17</w:t>
      </w:r>
      <w:r>
        <w:rPr>
          <w:spacing w:val="-7"/>
        </w:rPr>
        <w:t> </w:t>
      </w:r>
      <w:r>
        <w:rPr/>
        <w:t>units</w:t>
      </w:r>
      <w:r>
        <w:rPr>
          <w:spacing w:val="-6"/>
        </w:rPr>
        <w:t> </w:t>
      </w:r>
      <w:r>
        <w:rPr>
          <w:spacing w:val="-2"/>
        </w:rPr>
        <w:t>required)</w:t>
      </w:r>
    </w:p>
    <w:p>
      <w:pPr>
        <w:pStyle w:val="BodyText"/>
      </w:pPr>
    </w:p>
    <w:p>
      <w:pPr>
        <w:pStyle w:val="BodyText"/>
        <w:ind w:left="240"/>
      </w:pPr>
      <w:r>
        <w:rPr/>
        <w:t>Complete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>
          <w:spacing w:val="-2"/>
        </w:rPr>
        <w:t>courses: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40" w:lineRule="auto" w:before="0" w:after="0"/>
        <w:ind w:left="1319" w:right="0" w:hanging="720"/>
        <w:jc w:val="left"/>
        <w:rPr>
          <w:sz w:val="22"/>
        </w:rPr>
      </w:pPr>
      <w:r>
        <w:rPr>
          <w:sz w:val="22"/>
        </w:rPr>
        <w:t>ENGR</w:t>
      </w:r>
      <w:r>
        <w:rPr>
          <w:spacing w:val="-7"/>
          <w:sz w:val="22"/>
        </w:rPr>
        <w:t> </w:t>
      </w:r>
      <w:r>
        <w:rPr>
          <w:sz w:val="22"/>
        </w:rPr>
        <w:t>492B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Internship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Engineering</w:t>
      </w:r>
      <w:r>
        <w:rPr>
          <w:spacing w:val="-7"/>
          <w:sz w:val="22"/>
        </w:rPr>
        <w:t> </w:t>
      </w:r>
      <w:r>
        <w:rPr>
          <w:sz w:val="22"/>
        </w:rPr>
        <w:t>(2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0" w:hanging="720"/>
        <w:jc w:val="left"/>
        <w:rPr>
          <w:sz w:val="22"/>
        </w:rPr>
      </w:pP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406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Cost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Benefit</w:t>
      </w:r>
      <w:r>
        <w:rPr>
          <w:spacing w:val="-5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0" w:hanging="720"/>
        <w:jc w:val="left"/>
        <w:rPr>
          <w:sz w:val="22"/>
        </w:rPr>
      </w:pPr>
      <w:r>
        <w:rPr>
          <w:sz w:val="22"/>
        </w:rPr>
        <w:t>CEM</w:t>
      </w:r>
      <w:r>
        <w:rPr>
          <w:spacing w:val="-6"/>
          <w:sz w:val="22"/>
        </w:rPr>
        <w:t> </w:t>
      </w:r>
      <w:r>
        <w:rPr>
          <w:sz w:val="22"/>
        </w:rPr>
        <w:t>424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Earthwork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Civil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Construction</w:t>
      </w:r>
      <w:r>
        <w:rPr>
          <w:spacing w:val="-7"/>
          <w:sz w:val="22"/>
        </w:rPr>
        <w:t> </w:t>
      </w:r>
      <w:r>
        <w:rPr>
          <w:sz w:val="22"/>
        </w:rPr>
        <w:t>Practices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480" w:lineRule="auto" w:before="42" w:after="0"/>
        <w:ind w:left="240" w:right="2263" w:firstLine="359"/>
        <w:jc w:val="left"/>
        <w:rPr>
          <w:sz w:val="22"/>
        </w:rPr>
      </w:pPr>
      <w:r>
        <w:rPr>
          <w:sz w:val="22"/>
        </w:rPr>
        <w:t>CEM</w:t>
      </w:r>
      <w:r>
        <w:rPr>
          <w:spacing w:val="-4"/>
          <w:sz w:val="22"/>
        </w:rPr>
        <w:t> </w:t>
      </w:r>
      <w:r>
        <w:rPr>
          <w:sz w:val="22"/>
        </w:rPr>
        <w:t>476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Heavy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5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Principles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Practices</w:t>
      </w:r>
      <w:r>
        <w:rPr>
          <w:spacing w:val="-3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z w:val="22"/>
        </w:rPr>
        <w:t>Units) Complete two of the following courses: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0" w:hanging="720"/>
        <w:jc w:val="left"/>
        <w:rPr>
          <w:sz w:val="22"/>
        </w:rPr>
      </w:pPr>
      <w:r>
        <w:rPr>
          <w:sz w:val="22"/>
        </w:rPr>
        <w:t>CE</w:t>
      </w:r>
      <w:r>
        <w:rPr>
          <w:spacing w:val="-8"/>
          <w:sz w:val="22"/>
        </w:rPr>
        <w:t> </w:t>
      </w:r>
      <w:r>
        <w:rPr>
          <w:sz w:val="22"/>
        </w:rPr>
        <w:t>325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Transportation</w:t>
      </w:r>
      <w:r>
        <w:rPr>
          <w:spacing w:val="-8"/>
          <w:sz w:val="22"/>
        </w:rPr>
        <w:t> </w:t>
      </w:r>
      <w:r>
        <w:rPr>
          <w:sz w:val="22"/>
        </w:rPr>
        <w:t>Safety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Sustainability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689" w:hanging="721"/>
        <w:jc w:val="left"/>
        <w:rPr>
          <w:sz w:val="22"/>
        </w:rPr>
      </w:pPr>
      <w:r>
        <w:rPr>
          <w:sz w:val="22"/>
        </w:rPr>
        <w:t>CE</w:t>
      </w:r>
      <w:r>
        <w:rPr>
          <w:spacing w:val="-4"/>
          <w:sz w:val="22"/>
        </w:rPr>
        <w:t> </w:t>
      </w:r>
      <w:r>
        <w:rPr>
          <w:sz w:val="22"/>
        </w:rPr>
        <w:t>428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CE</w:t>
      </w:r>
      <w:r>
        <w:rPr>
          <w:spacing w:val="-4"/>
          <w:sz w:val="22"/>
        </w:rPr>
        <w:t> </w:t>
      </w:r>
      <w:r>
        <w:rPr>
          <w:sz w:val="22"/>
        </w:rPr>
        <w:t>428L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Highway</w:t>
      </w:r>
      <w:r>
        <w:rPr>
          <w:spacing w:val="-4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Materials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Highway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Materials Laboratory (3 Total 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0" w:hanging="720"/>
        <w:jc w:val="left"/>
        <w:rPr>
          <w:sz w:val="22"/>
        </w:rPr>
      </w:pPr>
      <w:r>
        <w:rPr>
          <w:sz w:val="22"/>
        </w:rPr>
        <w:t>CE</w:t>
      </w:r>
      <w:r>
        <w:rPr>
          <w:spacing w:val="-7"/>
          <w:sz w:val="22"/>
        </w:rPr>
        <w:t> </w:t>
      </w:r>
      <w:r>
        <w:rPr>
          <w:sz w:val="22"/>
        </w:rPr>
        <w:t>446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Geotechnical</w:t>
      </w:r>
      <w:r>
        <w:rPr>
          <w:spacing w:val="-6"/>
          <w:sz w:val="22"/>
        </w:rPr>
        <w:t> </w:t>
      </w:r>
      <w:r>
        <w:rPr>
          <w:sz w:val="22"/>
        </w:rPr>
        <w:t>Walls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Slopes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Heavy</w:t>
      </w:r>
      <w:r>
        <w:rPr>
          <w:spacing w:val="-6"/>
          <w:sz w:val="22"/>
        </w:rPr>
        <w:t> </w:t>
      </w:r>
      <w:r>
        <w:rPr>
          <w:sz w:val="22"/>
        </w:rPr>
        <w:t>Civil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40" w:lineRule="auto" w:before="41" w:after="0"/>
        <w:ind w:left="1320" w:right="0" w:hanging="720"/>
        <w:jc w:val="left"/>
        <w:rPr>
          <w:sz w:val="22"/>
        </w:rPr>
      </w:pPr>
      <w:r>
        <w:rPr>
          <w:sz w:val="22"/>
        </w:rPr>
        <w:t>CEM</w:t>
      </w:r>
      <w:r>
        <w:rPr>
          <w:spacing w:val="-8"/>
          <w:sz w:val="22"/>
        </w:rPr>
        <w:t> </w:t>
      </w:r>
      <w:r>
        <w:rPr>
          <w:sz w:val="22"/>
        </w:rPr>
        <w:t>486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Infrastructure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8"/>
          <w:sz w:val="22"/>
        </w:rPr>
        <w:t> </w:t>
      </w:r>
      <w:r>
        <w:rPr>
          <w:sz w:val="22"/>
        </w:rPr>
        <w:t>(3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819150</wp:posOffset>
                </wp:positionH>
                <wp:positionV relativeFrom="paragraph">
                  <wp:posOffset>-239713</wp:posOffset>
                </wp:positionV>
                <wp:extent cx="613410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4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9525">
                              <a:moveTo>
                                <a:pt x="61340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34087" y="9144"/>
                              </a:lnTo>
                              <a:lnTo>
                                <a:pt x="6134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pt;margin-top:-18.875103pt;width:482.999pt;height:.72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01E1F"/>
          <w:spacing w:val="-2"/>
        </w:rPr>
        <w:t>EFFECTIVE:</w:t>
      </w:r>
      <w:r>
        <w:rPr>
          <w:color w:val="201E1F"/>
          <w:spacing w:val="-5"/>
        </w:rPr>
        <w:t> </w:t>
      </w:r>
      <w:r>
        <w:rPr>
          <w:color w:val="201E1F"/>
          <w:spacing w:val="-2"/>
        </w:rPr>
        <w:t>Fall</w:t>
      </w:r>
      <w:r>
        <w:rPr>
          <w:color w:val="201E1F"/>
          <w:spacing w:val="-6"/>
        </w:rPr>
        <w:t> </w:t>
      </w:r>
      <w:r>
        <w:rPr>
          <w:color w:val="201E1F"/>
          <w:spacing w:val="-4"/>
        </w:rPr>
        <w:t>2026</w:t>
      </w:r>
    </w:p>
    <w:p>
      <w:pPr>
        <w:pStyle w:val="BodyText"/>
        <w:spacing w:line="446" w:lineRule="auto" w:before="216"/>
        <w:ind w:left="239" w:right="5609"/>
        <w:rPr>
          <w:rFonts w:ascii="Times New Roman"/>
        </w:rPr>
      </w:pPr>
      <w:r>
        <w:rPr>
          <w:rFonts w:ascii="Times New Roman"/>
        </w:rPr>
        <w:t>Academic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Plan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Code: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CE</w:t>
      </w:r>
      <w:r>
        <w:rPr>
          <w:rFonts w:ascii="Times New Roman"/>
          <w:spacing w:val="80"/>
          <w:w w:val="150"/>
          <w:u w:val="single"/>
        </w:rPr>
        <w:t> </w:t>
      </w:r>
      <w:r>
        <w:rPr>
          <w:rFonts w:ascii="Times New Roman"/>
          <w:u w:val="none"/>
        </w:rPr>
        <w:t>UM01U1 Career: Minor</w:t>
      </w:r>
    </w:p>
    <w:p>
      <w:pPr>
        <w:pStyle w:val="BodyText"/>
        <w:spacing w:line="250" w:lineRule="exact"/>
        <w:ind w:left="239"/>
        <w:rPr>
          <w:rFonts w:ascii="Times New Roman"/>
        </w:rPr>
      </w:pPr>
      <w:r>
        <w:rPr>
          <w:rFonts w:ascii="Times New Roman"/>
        </w:rPr>
        <w:t>College: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College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Engineering</w:t>
      </w:r>
    </w:p>
    <w:p>
      <w:pPr>
        <w:pStyle w:val="BodyText"/>
        <w:spacing w:line="446" w:lineRule="auto" w:before="215"/>
        <w:ind w:left="240" w:right="1129"/>
        <w:rPr>
          <w:rFonts w:ascii="Times New Roman"/>
        </w:rPr>
      </w:pPr>
      <w:r>
        <w:rPr>
          <w:rFonts w:ascii="Times New Roman"/>
        </w:rPr>
        <w:t>Department: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Civil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Engineering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Construction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Engineering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Management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(CECEM) Delivery: Fully Face-to-Face</w:t>
      </w:r>
    </w:p>
    <w:sectPr>
      <w:headerReference w:type="default" r:id="rId5"/>
      <w:type w:val="continuous"/>
      <w:pgSz w:w="12240" w:h="15840"/>
      <w:pgMar w:header="1498" w:footer="0" w:top="2440" w:bottom="2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914398</wp:posOffset>
              </wp:positionH>
              <wp:positionV relativeFrom="page">
                <wp:posOffset>1551942</wp:posOffset>
              </wp:positionV>
              <wp:extent cx="5943600" cy="889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8890">
                            <a:moveTo>
                              <a:pt x="5943600" y="0"/>
                            </a:moveTo>
                            <a:lnTo>
                              <a:pt x="5939155" y="0"/>
                            </a:ln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943600" y="8890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999901pt;margin-top:122.200203pt;width:468pt;height:.7pt;mso-position-horizontal-relative:page;mso-position-vertical-relative:page;z-index:-15764992" id="docshape1" coordorigin="1440,2444" coordsize="9360,14" path="m10800,2444l10793,2444,1440,2444,1440,2458,10800,2458,10800,2444xe" filled="true" fillcolor="#9f9f9f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1266697</wp:posOffset>
              </wp:positionH>
              <wp:positionV relativeFrom="page">
                <wp:posOffset>938219</wp:posOffset>
              </wp:positionV>
              <wp:extent cx="252857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85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01E1F"/>
                              <w:w w:val="105"/>
                              <w:sz w:val="22"/>
                            </w:rPr>
                            <w:t>California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9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w w:val="105"/>
                              <w:sz w:val="22"/>
                            </w:rPr>
                            <w:t>State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10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w w:val="105"/>
                              <w:sz w:val="22"/>
                            </w:rPr>
                            <w:t>University,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10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w w:val="105"/>
                              <w:sz w:val="22"/>
                            </w:rPr>
                            <w:t>Long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9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2"/>
                              <w:w w:val="105"/>
                              <w:sz w:val="22"/>
                            </w:rPr>
                            <w:t>Beach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739998pt;margin-top:73.87558pt;width:199.1pt;height:14.2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color w:val="201E1F"/>
                        <w:w w:val="105"/>
                        <w:sz w:val="22"/>
                      </w:rPr>
                      <w:t>California</w:t>
                    </w:r>
                    <w:r>
                      <w:rPr>
                        <w:rFonts w:ascii="Times New Roman"/>
                        <w:b/>
                        <w:color w:val="201E1F"/>
                        <w:spacing w:val="-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01E1F"/>
                        <w:w w:val="105"/>
                        <w:sz w:val="22"/>
                      </w:rPr>
                      <w:t>State</w:t>
                    </w:r>
                    <w:r>
                      <w:rPr>
                        <w:rFonts w:ascii="Times New Roman"/>
                        <w:b/>
                        <w:color w:val="201E1F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01E1F"/>
                        <w:w w:val="105"/>
                        <w:sz w:val="22"/>
                      </w:rPr>
                      <w:t>University,</w:t>
                    </w:r>
                    <w:r>
                      <w:rPr>
                        <w:rFonts w:ascii="Times New Roman"/>
                        <w:b/>
                        <w:color w:val="201E1F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01E1F"/>
                        <w:w w:val="105"/>
                        <w:sz w:val="22"/>
                      </w:rPr>
                      <w:t>Long</w:t>
                    </w:r>
                    <w:r>
                      <w:rPr>
                        <w:rFonts w:ascii="Times New Roman"/>
                        <w:b/>
                        <w:color w:val="201E1F"/>
                        <w:spacing w:val="-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01E1F"/>
                        <w:spacing w:val="-2"/>
                        <w:w w:val="105"/>
                        <w:sz w:val="22"/>
                      </w:rPr>
                      <w:t>Beach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5838697</wp:posOffset>
              </wp:positionH>
              <wp:positionV relativeFrom="page">
                <wp:posOffset>938219</wp:posOffset>
              </wp:positionV>
              <wp:extent cx="1033144" cy="515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33144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3" w:firstLine="0"/>
                            <w:jc w:val="right"/>
                            <w:rPr>
                              <w:rFonts w:asci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01E1F"/>
                              <w:sz w:val="22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2"/>
                              <w:sz w:val="22"/>
                            </w:rPr>
                            <w:t>Statement</w:t>
                          </w:r>
                        </w:p>
                        <w:p>
                          <w:pPr>
                            <w:spacing w:before="6"/>
                            <w:ind w:left="0" w:right="22" w:firstLine="0"/>
                            <w:jc w:val="right"/>
                            <w:rPr>
                              <w:rFonts w:asci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2"/>
                              <w:sz w:val="22"/>
                            </w:rPr>
                            <w:t>25-</w:t>
                          </w:r>
                          <w:r>
                            <w:rPr>
                              <w:rFonts w:ascii="Times New Roman"/>
                              <w:b/>
                              <w:color w:val="201E1F"/>
                              <w:spacing w:val="-7"/>
                              <w:sz w:val="22"/>
                            </w:rPr>
                            <w:t>17</w:t>
                          </w:r>
                        </w:p>
                        <w:p>
                          <w:pPr>
                            <w:pStyle w:val="BodyText"/>
                            <w:spacing w:before="16"/>
                            <w:ind w:right="18"/>
                            <w:jc w:val="righ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June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11,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73999pt;margin-top:73.87558pt;width:81.350pt;height:40.6pt;mso-position-horizontal-relative:page;mso-position-vertical-relative:page;z-index:-1576396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0" w:right="23" w:firstLine="0"/>
                      <w:jc w:val="righ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color w:val="201E1F"/>
                        <w:sz w:val="22"/>
                      </w:rPr>
                      <w:t>Policy</w:t>
                    </w:r>
                    <w:r>
                      <w:rPr>
                        <w:rFonts w:ascii="Times New Roman"/>
                        <w:b/>
                        <w:color w:val="201E1F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01E1F"/>
                        <w:spacing w:val="-2"/>
                        <w:sz w:val="22"/>
                      </w:rPr>
                      <w:t>Statement</w:t>
                    </w:r>
                  </w:p>
                  <w:p>
                    <w:pPr>
                      <w:spacing w:before="6"/>
                      <w:ind w:left="0" w:right="22" w:firstLine="0"/>
                      <w:jc w:val="righ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color w:val="201E1F"/>
                        <w:spacing w:val="-2"/>
                        <w:sz w:val="22"/>
                      </w:rPr>
                      <w:t>25-</w:t>
                    </w:r>
                    <w:r>
                      <w:rPr>
                        <w:rFonts w:ascii="Times New Roman"/>
                        <w:b/>
                        <w:color w:val="201E1F"/>
                        <w:spacing w:val="-7"/>
                        <w:sz w:val="22"/>
                      </w:rPr>
                      <w:t>17</w:t>
                    </w:r>
                  </w:p>
                  <w:p>
                    <w:pPr>
                      <w:pStyle w:val="BodyText"/>
                      <w:spacing w:before="16"/>
                      <w:ind w:right="18"/>
                      <w:jc w:val="righ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June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</w:rPr>
                      <w:t>11,</w:t>
                    </w:r>
                    <w:r>
                      <w:rPr>
                        <w:rFonts w:ascii="Times New Roman"/>
                        <w:spacing w:val="-4"/>
                      </w:rPr>
                      <w:t>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0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4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320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2025-06-11T23:12:46Z</dcterms:created>
  <dcterms:modified xsi:type="dcterms:W3CDTF">2025-06-11T23:12:46Z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2025-06-11T00:00:00Z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D:20220727160502</vt:lpwstr>
  </property>
</Properties>
</file>