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B8FC" w14:textId="77777777" w:rsidR="00131A10" w:rsidRDefault="00131A10" w:rsidP="00131A10">
      <w:pPr>
        <w:pStyle w:val="Heading1"/>
        <w:keepNext w:val="0"/>
        <w:ind w:right="-187"/>
        <w:rPr>
          <w:rFonts w:ascii="Times New Roman" w:hAnsi="Times New Roman"/>
          <w:sz w:val="24"/>
          <w:szCs w:val="24"/>
        </w:rPr>
      </w:pPr>
      <w:r w:rsidRPr="00A76BB7">
        <w:rPr>
          <w:rFonts w:ascii="Times New Roman" w:hAnsi="Times New Roman"/>
          <w:sz w:val="24"/>
          <w:szCs w:val="24"/>
        </w:rPr>
        <w:t xml:space="preserve">COLLEGE OF EDUCATION STANDARD COURSE OUTLINE </w:t>
      </w:r>
    </w:p>
    <w:p w14:paraId="782182F2" w14:textId="666EBC26" w:rsidR="00131A10" w:rsidRPr="0064580B" w:rsidRDefault="00131A10" w:rsidP="00131A10">
      <w:pPr>
        <w:pStyle w:val="Heading1"/>
        <w:keepNext w:val="0"/>
        <w:ind w:right="-187"/>
        <w:rPr>
          <w:rFonts w:ascii="Times New Roman" w:hAnsi="Times New Roman"/>
          <w:sz w:val="24"/>
          <w:szCs w:val="24"/>
        </w:rPr>
      </w:pPr>
      <w:r w:rsidRPr="00D3190E">
        <w:rPr>
          <w:rFonts w:ascii="Times New Roman" w:hAnsi="Times New Roman"/>
          <w:i/>
          <w:iCs/>
          <w:sz w:val="24"/>
          <w:szCs w:val="24"/>
        </w:rPr>
        <w:t>[</w:t>
      </w:r>
      <w:r w:rsidR="00D3190E" w:rsidRPr="00D3190E">
        <w:rPr>
          <w:rFonts w:ascii="Times New Roman" w:hAnsi="Times New Roman"/>
          <w:i/>
          <w:iCs/>
          <w:sz w:val="24"/>
          <w:szCs w:val="24"/>
        </w:rPr>
        <w:t xml:space="preserve">Insert </w:t>
      </w:r>
      <w:r w:rsidRPr="00D3190E">
        <w:rPr>
          <w:rFonts w:ascii="Times New Roman" w:hAnsi="Times New Roman"/>
          <w:i/>
          <w:iCs/>
          <w:sz w:val="24"/>
          <w:szCs w:val="24"/>
        </w:rPr>
        <w:t>COURSE PREFIX AND NUMBER]</w:t>
      </w:r>
    </w:p>
    <w:p w14:paraId="38A9713B" w14:textId="77777777" w:rsidR="00131A10" w:rsidRDefault="00131A10" w:rsidP="00131A10">
      <w:pPr>
        <w:jc w:val="center"/>
        <w:rPr>
          <w:b/>
          <w:bCs/>
        </w:rPr>
      </w:pPr>
    </w:p>
    <w:p w14:paraId="5769ACE3" w14:textId="77777777" w:rsidR="00131A10" w:rsidRPr="0064580B" w:rsidRDefault="00131A10" w:rsidP="00131A10">
      <w:pPr>
        <w:jc w:val="both"/>
        <w:rPr>
          <w:color w:val="333333"/>
        </w:rPr>
      </w:pPr>
      <w:r w:rsidRPr="7FB671AD">
        <w:rPr>
          <w:i/>
          <w:iCs/>
        </w:rPr>
        <w:t xml:space="preserve">[Changes to a Standard Course Outline (SCO) that impact the Catalog, modality or course classification go through full department and college review, while changes to the </w:t>
      </w:r>
      <w:r w:rsidRPr="7FB671AD">
        <w:rPr>
          <w:b/>
          <w:bCs/>
          <w:i/>
          <w:iCs/>
        </w:rPr>
        <w:t>SCO only</w:t>
      </w:r>
      <w:r w:rsidRPr="7FB671AD">
        <w:rPr>
          <w:i/>
          <w:iCs/>
        </w:rPr>
        <w:t xml:space="preserve"> are completed at the department level. All items in brackets are directions for the proposer and should be deleted from the SCO after the proposal is approved. Equity-mindedness* will also need to be integrated in the Student Learning Outcomes, Subject Matter Outline, Recommended Texts, Assessments, and Bibliography.]</w:t>
      </w:r>
    </w:p>
    <w:p w14:paraId="0C1A731C" w14:textId="77777777" w:rsidR="00131A10" w:rsidRDefault="00131A10" w:rsidP="00131A10">
      <w:pPr>
        <w:rPr>
          <w:i/>
          <w:iCs/>
        </w:rPr>
      </w:pPr>
    </w:p>
    <w:p w14:paraId="6DBEA933" w14:textId="77777777" w:rsidR="00131A10" w:rsidRPr="00A76BB7" w:rsidRDefault="00131A10" w:rsidP="00131A10">
      <w:r>
        <w:t xml:space="preserve">Faculty using this Standard Course Outline to construct a syllabus should consult the following university policies: </w:t>
      </w:r>
      <w:hyperlink r:id="rId11">
        <w:r w:rsidRPr="7FBA9E86">
          <w:rPr>
            <w:rStyle w:val="Hyperlink"/>
          </w:rPr>
          <w:t>PS 11</w:t>
        </w:r>
        <w:r w:rsidRPr="7FBA9E86">
          <w:rPr>
            <w:rStyle w:val="Hyperlink"/>
          </w:rPr>
          <w:t>-</w:t>
        </w:r>
        <w:r w:rsidRPr="7FBA9E86">
          <w:rPr>
            <w:rStyle w:val="Hyperlink"/>
          </w:rPr>
          <w:t>07</w:t>
        </w:r>
      </w:hyperlink>
      <w:r>
        <w:t xml:space="preserve">: Syllabi and Standard Course Outlines; </w:t>
      </w:r>
      <w:hyperlink r:id="rId12">
        <w:r w:rsidRPr="7FBA9E86">
          <w:rPr>
            <w:rStyle w:val="Hyperlink"/>
          </w:rPr>
          <w:t>PS 1</w:t>
        </w:r>
        <w:r w:rsidRPr="7FBA9E86">
          <w:rPr>
            <w:rStyle w:val="Hyperlink"/>
          </w:rPr>
          <w:t>4</w:t>
        </w:r>
        <w:r w:rsidRPr="7FBA9E86">
          <w:rPr>
            <w:rStyle w:val="Hyperlink"/>
          </w:rPr>
          <w:t>-15</w:t>
        </w:r>
      </w:hyperlink>
      <w:r>
        <w:t xml:space="preserve">: Faculty Office Hours; </w:t>
      </w:r>
      <w:hyperlink r:id="rId13">
        <w:r w:rsidRPr="7FBA9E86">
          <w:rPr>
            <w:rStyle w:val="Hyperlink"/>
          </w:rPr>
          <w:t>PS 12-</w:t>
        </w:r>
        <w:r w:rsidRPr="7FBA9E86">
          <w:rPr>
            <w:rStyle w:val="Hyperlink"/>
          </w:rPr>
          <w:t>0</w:t>
        </w:r>
        <w:r w:rsidRPr="7FBA9E86">
          <w:rPr>
            <w:rStyle w:val="Hyperlink"/>
          </w:rPr>
          <w:t>3</w:t>
        </w:r>
      </w:hyperlink>
      <w:r>
        <w:t xml:space="preserve">: Final Course Grades, Grading Procedures, and Final Assessments; and </w:t>
      </w:r>
      <w:hyperlink r:id="rId14">
        <w:r w:rsidRPr="7FBA9E86">
          <w:rPr>
            <w:rStyle w:val="Hyperlink"/>
          </w:rPr>
          <w:t xml:space="preserve">PS </w:t>
        </w:r>
        <w:r w:rsidRPr="7FBA9E86">
          <w:rPr>
            <w:rStyle w:val="Hyperlink"/>
          </w:rPr>
          <w:t>2</w:t>
        </w:r>
        <w:r w:rsidRPr="7FBA9E86">
          <w:rPr>
            <w:rStyle w:val="Hyperlink"/>
          </w:rPr>
          <w:t>0-01</w:t>
        </w:r>
      </w:hyperlink>
      <w:r>
        <w:t xml:space="preserve">: Online and Hybrid Instruction (if applicable). The college and department have a syllabus template available that already incorporates these policies.  </w:t>
      </w:r>
    </w:p>
    <w:p w14:paraId="466DF3ED" w14:textId="77777777" w:rsidR="00131A10" w:rsidRPr="00C7164A" w:rsidRDefault="00131A10" w:rsidP="00131A10">
      <w:pPr>
        <w:ind w:right="-187"/>
      </w:pPr>
    </w:p>
    <w:p w14:paraId="0333A23E" w14:textId="698A2984" w:rsidR="00131A10" w:rsidRDefault="00131A10" w:rsidP="00131A10">
      <w:pPr>
        <w:ind w:right="-187"/>
        <w:rPr>
          <w:b/>
          <w:bCs/>
          <w:u w:val="single"/>
        </w:rPr>
      </w:pPr>
      <w:r w:rsidRPr="7093D3C4">
        <w:rPr>
          <w:b/>
          <w:bCs/>
        </w:rPr>
        <w:t>1.</w:t>
      </w:r>
      <w:r>
        <w:tab/>
      </w:r>
      <w:r w:rsidRPr="7093D3C4">
        <w:rPr>
          <w:b/>
          <w:bCs/>
        </w:rPr>
        <w:t>Course prefix, number, title (</w:t>
      </w:r>
      <w:r w:rsidR="00D3190E">
        <w:rPr>
          <w:b/>
          <w:bCs/>
        </w:rPr>
        <w:t xml:space="preserve">number of </w:t>
      </w:r>
      <w:r w:rsidRPr="7093D3C4">
        <w:rPr>
          <w:b/>
          <w:bCs/>
        </w:rPr>
        <w:t>units)</w:t>
      </w:r>
    </w:p>
    <w:p w14:paraId="6EE3E183" w14:textId="77777777" w:rsidR="00131A10" w:rsidRPr="00C7164A" w:rsidRDefault="00131A10" w:rsidP="00131A10">
      <w:pPr>
        <w:ind w:left="540" w:right="-187" w:hanging="540"/>
      </w:pPr>
    </w:p>
    <w:p w14:paraId="374F5940" w14:textId="77777777" w:rsidR="00131A10" w:rsidRPr="00BC7A28" w:rsidRDefault="00131A10" w:rsidP="00131A10">
      <w:pPr>
        <w:ind w:right="-187"/>
        <w:rPr>
          <w:b/>
          <w:bCs/>
        </w:rPr>
      </w:pPr>
      <w:r w:rsidRPr="7093D3C4">
        <w:rPr>
          <w:b/>
          <w:bCs/>
        </w:rPr>
        <w:t>2.</w:t>
      </w:r>
      <w:r>
        <w:tab/>
      </w:r>
      <w:r w:rsidRPr="7093D3C4">
        <w:rPr>
          <w:b/>
          <w:bCs/>
        </w:rPr>
        <w:t xml:space="preserve">Course Description  </w:t>
      </w:r>
    </w:p>
    <w:p w14:paraId="7A1FC3FD" w14:textId="77777777" w:rsidR="00131A10" w:rsidRPr="00C7164A" w:rsidRDefault="00131A10" w:rsidP="00131A10">
      <w:pPr>
        <w:ind w:left="720" w:right="-187"/>
        <w:rPr>
          <w:i/>
          <w:iCs/>
        </w:rPr>
      </w:pPr>
      <w:r w:rsidRPr="7093D3C4">
        <w:rPr>
          <w:i/>
          <w:iCs/>
        </w:rPr>
        <w:t xml:space="preserve">[Description of the course </w:t>
      </w:r>
      <w:r w:rsidRPr="7093D3C4" w:rsidDel="00B36B50">
        <w:rPr>
          <w:i/>
          <w:iCs/>
        </w:rPr>
        <w:t>a</w:t>
      </w:r>
      <w:r w:rsidRPr="7093D3C4">
        <w:rPr>
          <w:i/>
          <w:iCs/>
        </w:rPr>
        <w:t>s it will appear in the Catalog</w:t>
      </w:r>
      <w:r w:rsidRPr="7093D3C4" w:rsidDel="00B36B50">
        <w:rPr>
          <w:i/>
          <w:iCs/>
        </w:rPr>
        <w:t xml:space="preserve"> </w:t>
      </w:r>
      <w:r w:rsidRPr="7093D3C4">
        <w:rPr>
          <w:i/>
          <w:iCs/>
        </w:rPr>
        <w:t>(</w:t>
      </w:r>
      <w:r w:rsidRPr="7093D3C4" w:rsidDel="00B36B50">
        <w:rPr>
          <w:i/>
          <w:iCs/>
        </w:rPr>
        <w:t xml:space="preserve">cannot </w:t>
      </w:r>
      <w:r w:rsidRPr="7093D3C4">
        <w:rPr>
          <w:i/>
          <w:iCs/>
        </w:rPr>
        <w:t>exceed 40 words).</w:t>
      </w:r>
      <w:r>
        <w:rPr>
          <w:i/>
          <w:iCs/>
        </w:rPr>
        <w:t>]</w:t>
      </w:r>
      <w:r w:rsidRPr="7093D3C4">
        <w:rPr>
          <w:i/>
          <w:iCs/>
        </w:rPr>
        <w:t xml:space="preserve">  </w:t>
      </w:r>
    </w:p>
    <w:p w14:paraId="2FAEB5A6" w14:textId="77777777" w:rsidR="00131A10" w:rsidRPr="00C7164A" w:rsidRDefault="00131A10" w:rsidP="00131A10">
      <w:pPr>
        <w:ind w:left="540" w:right="-187" w:hanging="540"/>
      </w:pPr>
    </w:p>
    <w:p w14:paraId="5C7B7B24" w14:textId="77777777" w:rsidR="00131A10" w:rsidRDefault="00131A10" w:rsidP="00131A10">
      <w:pPr>
        <w:ind w:right="-187"/>
        <w:rPr>
          <w:b/>
          <w:bCs/>
        </w:rPr>
      </w:pPr>
      <w:r w:rsidRPr="7093D3C4">
        <w:rPr>
          <w:b/>
          <w:bCs/>
        </w:rPr>
        <w:t>3.</w:t>
      </w:r>
      <w:r>
        <w:tab/>
      </w:r>
      <w:r>
        <w:rPr>
          <w:b/>
          <w:bCs/>
        </w:rPr>
        <w:t>Course Pre-requisites, Co-requisites, Fieldwork and Other Requirements</w:t>
      </w:r>
    </w:p>
    <w:p w14:paraId="08300C1E" w14:textId="77777777" w:rsidR="00131A10" w:rsidRPr="000A3516" w:rsidRDefault="00131A10" w:rsidP="00131A10">
      <w:pPr>
        <w:tabs>
          <w:tab w:val="left" w:pos="0"/>
        </w:tabs>
        <w:ind w:left="720" w:right="-187" w:hanging="180"/>
        <w:rPr>
          <w:b/>
          <w:bCs/>
          <w:i/>
          <w:iCs/>
          <w:sz w:val="22"/>
          <w:szCs w:val="22"/>
        </w:rPr>
      </w:pPr>
      <w:r>
        <w:rPr>
          <w:b/>
          <w:bCs/>
        </w:rPr>
        <w:tab/>
      </w:r>
      <w:r w:rsidRPr="000A3516">
        <w:rPr>
          <w:i/>
          <w:iCs/>
        </w:rPr>
        <w:t>[</w:t>
      </w:r>
      <w:r>
        <w:rPr>
          <w:i/>
          <w:iCs/>
        </w:rPr>
        <w:t>List all relevant pre-</w:t>
      </w:r>
      <w:r w:rsidRPr="00963F45">
        <w:rPr>
          <w:i/>
          <w:iCs/>
        </w:rPr>
        <w:t>r</w:t>
      </w:r>
      <w:r>
        <w:rPr>
          <w:i/>
          <w:iCs/>
        </w:rPr>
        <w:t>equisites</w:t>
      </w:r>
      <w:r w:rsidRPr="00963F45">
        <w:rPr>
          <w:i/>
          <w:iCs/>
        </w:rPr>
        <w:t xml:space="preserve">, </w:t>
      </w:r>
      <w:r>
        <w:rPr>
          <w:i/>
          <w:iCs/>
        </w:rPr>
        <w:t xml:space="preserve">“department consent,” </w:t>
      </w:r>
      <w:r w:rsidRPr="00963F45">
        <w:rPr>
          <w:i/>
          <w:iCs/>
        </w:rPr>
        <w:t xml:space="preserve">fieldwork hours, clinical experience, </w:t>
      </w:r>
      <w:r w:rsidRPr="00963F45" w:rsidDel="003219E6">
        <w:rPr>
          <w:i/>
          <w:iCs/>
        </w:rPr>
        <w:t xml:space="preserve">course-related </w:t>
      </w:r>
      <w:r w:rsidRPr="00963F45">
        <w:rPr>
          <w:i/>
          <w:iCs/>
        </w:rPr>
        <w:t>fees, “letter grade only [A-F],” or other requirements</w:t>
      </w:r>
      <w:r>
        <w:rPr>
          <w:i/>
          <w:iCs/>
        </w:rPr>
        <w:t>.</w:t>
      </w:r>
      <w:r w:rsidRPr="00963F45">
        <w:rPr>
          <w:i/>
          <w:iCs/>
        </w:rPr>
        <w:t>]</w:t>
      </w:r>
    </w:p>
    <w:p w14:paraId="364D8DED" w14:textId="77777777" w:rsidR="00131A10" w:rsidRDefault="00131A10" w:rsidP="00131A10">
      <w:pPr>
        <w:ind w:right="-187"/>
      </w:pPr>
    </w:p>
    <w:p w14:paraId="584A8B52" w14:textId="11008204" w:rsidR="00131A10" w:rsidRDefault="00131A10" w:rsidP="00131A10">
      <w:pPr>
        <w:ind w:left="720" w:hanging="720"/>
      </w:pPr>
      <w:r w:rsidRPr="35F4762F">
        <w:rPr>
          <w:b/>
          <w:bCs/>
        </w:rPr>
        <w:t xml:space="preserve">4. </w:t>
      </w:r>
      <w:r>
        <w:tab/>
      </w:r>
      <w:r w:rsidRPr="35F4762F">
        <w:rPr>
          <w:b/>
          <w:bCs/>
        </w:rPr>
        <w:t>Mode of Instruction</w:t>
      </w:r>
      <w:r>
        <w:br/>
        <w:t>Modes of instruction this course is authorized to use:</w:t>
      </w:r>
      <w:r>
        <w:br/>
      </w:r>
      <w:r>
        <w:t></w:t>
      </w:r>
      <w:r w:rsidRPr="4902E4A1">
        <w:rPr>
          <w:b/>
          <w:bCs/>
        </w:rPr>
        <w:t xml:space="preserve"> </w:t>
      </w:r>
      <w:r>
        <w:t>Face-to-</w:t>
      </w:r>
      <w:proofErr w:type="gramStart"/>
      <w:r>
        <w:t>Face</w:t>
      </w:r>
      <w:r w:rsidRPr="4902E4A1">
        <w:rPr>
          <w:b/>
          <w:bCs/>
        </w:rPr>
        <w:t xml:space="preserve">  </w:t>
      </w:r>
      <w:r>
        <w:t></w:t>
      </w:r>
      <w:proofErr w:type="gramEnd"/>
      <w:r w:rsidRPr="4902E4A1">
        <w:rPr>
          <w:b/>
          <w:bCs/>
        </w:rPr>
        <w:t xml:space="preserve"> </w:t>
      </w:r>
      <w:r>
        <w:t>Hybrid</w:t>
      </w:r>
      <w:r w:rsidRPr="4902E4A1">
        <w:rPr>
          <w:b/>
          <w:bCs/>
        </w:rPr>
        <w:t xml:space="preserve">   </w:t>
      </w:r>
      <w:r>
        <w:t></w:t>
      </w:r>
      <w:r w:rsidRPr="4902E4A1">
        <w:rPr>
          <w:b/>
          <w:bCs/>
        </w:rPr>
        <w:t xml:space="preserve"> </w:t>
      </w:r>
      <w:r>
        <w:t xml:space="preserve">Online–Synchronous  </w:t>
      </w:r>
      <w:r>
        <w:t></w:t>
      </w:r>
      <w:r w:rsidRPr="4902E4A1">
        <w:rPr>
          <w:b/>
          <w:bCs/>
        </w:rPr>
        <w:t xml:space="preserve"> </w:t>
      </w:r>
      <w:r>
        <w:t xml:space="preserve">Online–Asynchronous  </w:t>
      </w:r>
      <w:r>
        <w:t></w:t>
      </w:r>
      <w:r w:rsidRPr="4902E4A1">
        <w:rPr>
          <w:b/>
          <w:bCs/>
        </w:rPr>
        <w:t xml:space="preserve"> </w:t>
      </w:r>
      <w:proofErr w:type="spellStart"/>
      <w:r>
        <w:t>Hyflex</w:t>
      </w:r>
      <w:proofErr w:type="spellEnd"/>
    </w:p>
    <w:p w14:paraId="3ECFBAE8" w14:textId="77777777" w:rsidR="00131A10" w:rsidRPr="00C7164A" w:rsidRDefault="00131A10" w:rsidP="00131A10">
      <w:pPr>
        <w:ind w:right="-187"/>
      </w:pPr>
      <w:r w:rsidRPr="00C7164A">
        <w:tab/>
      </w:r>
    </w:p>
    <w:p w14:paraId="42422242" w14:textId="77777777" w:rsidR="00131A10" w:rsidRPr="00EF591D" w:rsidRDefault="00131A10" w:rsidP="00131A10">
      <w:pPr>
        <w:ind w:left="720" w:right="-187" w:hanging="720"/>
      </w:pPr>
      <w:r w:rsidRPr="00EF591D">
        <w:rPr>
          <w:b/>
          <w:bCs/>
        </w:rPr>
        <w:t>5.</w:t>
      </w:r>
      <w:r>
        <w:tab/>
      </w:r>
      <w:r w:rsidRPr="00EF591D">
        <w:rPr>
          <w:b/>
          <w:bCs/>
        </w:rPr>
        <w:t>Course Student Learning Outcomes (SLOs) and Alignment with</w:t>
      </w:r>
      <w:r w:rsidRPr="00EF591D">
        <w:t xml:space="preserve"> </w:t>
      </w:r>
      <w:r w:rsidRPr="00EF591D">
        <w:rPr>
          <w:b/>
          <w:bCs/>
        </w:rPr>
        <w:t>Program Learning Outcomes (PLOs)</w:t>
      </w:r>
      <w:r>
        <w:t xml:space="preserve"> </w:t>
      </w:r>
    </w:p>
    <w:p w14:paraId="7E291EDB" w14:textId="19CE69E8" w:rsidR="00131A10" w:rsidRPr="00F7007D" w:rsidRDefault="00131A10" w:rsidP="00131A10">
      <w:pPr>
        <w:ind w:left="720" w:right="-187"/>
        <w:rPr>
          <w:i/>
          <w:iCs/>
          <w:highlight w:val="yellow"/>
        </w:rPr>
      </w:pPr>
      <w:r w:rsidRPr="00EF591D">
        <w:rPr>
          <w:i/>
          <w:iCs/>
        </w:rPr>
        <w:t>[SLOs should identify what students should know and be able to do upon completion of the course</w:t>
      </w:r>
      <w:r w:rsidRPr="5DD9491A">
        <w:rPr>
          <w:i/>
          <w:iCs/>
        </w:rPr>
        <w:t xml:space="preserve"> and reflect equity-</w:t>
      </w:r>
      <w:r w:rsidRPr="00EF591D">
        <w:rPr>
          <w:i/>
          <w:iCs/>
        </w:rPr>
        <w:t xml:space="preserve">mindedness. </w:t>
      </w:r>
    </w:p>
    <w:p w14:paraId="0A91B272" w14:textId="77777777" w:rsidR="00131A10" w:rsidRDefault="00131A10" w:rsidP="00131A10">
      <w:pPr>
        <w:ind w:left="720" w:right="-187"/>
        <w:rPr>
          <w:i/>
          <w:iCs/>
          <w:highlight w:val="yellow"/>
        </w:rPr>
      </w:pPr>
    </w:p>
    <w:p w14:paraId="12776EB2" w14:textId="1EC1B76F" w:rsidR="00131A10" w:rsidRDefault="00131A10" w:rsidP="00131A10">
      <w:pPr>
        <w:ind w:left="630"/>
        <w:rPr>
          <w:i/>
          <w:iCs/>
        </w:rPr>
      </w:pPr>
      <w:r w:rsidRPr="7093D3C4">
        <w:rPr>
          <w:i/>
          <w:iCs/>
        </w:rPr>
        <w:t xml:space="preserve">Complete the table below (adding or deleting rows as needed) to identify course SLOs and their alignment to program PLOs. Some course SLOs may not directly align with PLOs. In cases where a course serves multiple programs, the PLOs for each relevant program may be listed. If no PLOs are applicable, list N/A.] </w:t>
      </w:r>
    </w:p>
    <w:p w14:paraId="0ADE6DBF" w14:textId="77777777" w:rsidR="00131A10" w:rsidRPr="00F7007D" w:rsidRDefault="00131A10" w:rsidP="00131A10">
      <w:pPr>
        <w:ind w:left="630"/>
      </w:pPr>
    </w:p>
    <w:tbl>
      <w:tblPr>
        <w:tblW w:w="87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7"/>
        <w:gridCol w:w="4500"/>
      </w:tblGrid>
      <w:tr w:rsidR="00131A10" w:rsidRPr="00C90A2E" w14:paraId="7E63BA2C" w14:textId="77777777" w:rsidTr="00C825A0">
        <w:tc>
          <w:tcPr>
            <w:tcW w:w="4297" w:type="dxa"/>
            <w:vAlign w:val="center"/>
          </w:tcPr>
          <w:p w14:paraId="1224EC04" w14:textId="77777777" w:rsidR="00131A10" w:rsidRPr="00A76BB7" w:rsidRDefault="00131A10" w:rsidP="00C825A0">
            <w:pPr>
              <w:keepNext/>
              <w:jc w:val="center"/>
              <w:rPr>
                <w:b/>
                <w:bCs/>
              </w:rPr>
            </w:pPr>
            <w:r w:rsidRPr="00A76BB7">
              <w:rPr>
                <w:b/>
                <w:bCs/>
              </w:rPr>
              <w:t>Course Student Learning Outcome</w:t>
            </w:r>
          </w:p>
        </w:tc>
        <w:tc>
          <w:tcPr>
            <w:tcW w:w="4500" w:type="dxa"/>
            <w:vAlign w:val="center"/>
          </w:tcPr>
          <w:p w14:paraId="2D7F0EB3" w14:textId="77777777" w:rsidR="00131A10" w:rsidRPr="00A76BB7" w:rsidRDefault="00131A10" w:rsidP="00C825A0">
            <w:pPr>
              <w:keepNext/>
              <w:jc w:val="center"/>
              <w:rPr>
                <w:b/>
                <w:bCs/>
              </w:rPr>
            </w:pPr>
            <w:r w:rsidRPr="00A76BB7">
              <w:rPr>
                <w:b/>
                <w:bCs/>
              </w:rPr>
              <w:t>Aligned Program Learning Outcome(s)</w:t>
            </w:r>
          </w:p>
        </w:tc>
      </w:tr>
      <w:tr w:rsidR="00131A10" w:rsidRPr="00C90A2E" w14:paraId="44C8E228" w14:textId="77777777" w:rsidTr="00C825A0">
        <w:tc>
          <w:tcPr>
            <w:tcW w:w="4297" w:type="dxa"/>
            <w:vAlign w:val="center"/>
          </w:tcPr>
          <w:p w14:paraId="52EA1F52" w14:textId="77777777" w:rsidR="00131A10" w:rsidRPr="00A76BB7" w:rsidRDefault="00131A10" w:rsidP="00C825A0">
            <w:pPr>
              <w:keepNext/>
            </w:pPr>
          </w:p>
        </w:tc>
        <w:tc>
          <w:tcPr>
            <w:tcW w:w="4500" w:type="dxa"/>
            <w:vAlign w:val="center"/>
          </w:tcPr>
          <w:p w14:paraId="7AC07802" w14:textId="77777777" w:rsidR="00131A10" w:rsidRPr="00A76BB7" w:rsidRDefault="00131A10" w:rsidP="00C825A0">
            <w:pPr>
              <w:keepNext/>
              <w:jc w:val="center"/>
            </w:pPr>
          </w:p>
        </w:tc>
      </w:tr>
      <w:tr w:rsidR="00131A10" w:rsidRPr="00C90A2E" w14:paraId="5BA2E087" w14:textId="77777777" w:rsidTr="00C825A0">
        <w:tc>
          <w:tcPr>
            <w:tcW w:w="4297" w:type="dxa"/>
            <w:vAlign w:val="center"/>
          </w:tcPr>
          <w:p w14:paraId="6998F511" w14:textId="77777777" w:rsidR="00131A10" w:rsidRPr="00A76BB7" w:rsidRDefault="00131A10" w:rsidP="00C825A0">
            <w:pPr>
              <w:keepNext/>
            </w:pPr>
          </w:p>
        </w:tc>
        <w:tc>
          <w:tcPr>
            <w:tcW w:w="4500" w:type="dxa"/>
            <w:vAlign w:val="center"/>
          </w:tcPr>
          <w:p w14:paraId="2BFE7388" w14:textId="77777777" w:rsidR="00131A10" w:rsidRPr="00A76BB7" w:rsidRDefault="00131A10" w:rsidP="00C825A0">
            <w:pPr>
              <w:keepNext/>
              <w:jc w:val="center"/>
            </w:pPr>
          </w:p>
        </w:tc>
      </w:tr>
      <w:tr w:rsidR="00131A10" w:rsidRPr="00C90A2E" w14:paraId="7BE58395" w14:textId="77777777" w:rsidTr="00C825A0">
        <w:tc>
          <w:tcPr>
            <w:tcW w:w="4297" w:type="dxa"/>
            <w:tcBorders>
              <w:top w:val="single" w:sz="4" w:space="0" w:color="auto"/>
              <w:bottom w:val="single" w:sz="4" w:space="0" w:color="auto"/>
            </w:tcBorders>
            <w:vAlign w:val="center"/>
          </w:tcPr>
          <w:p w14:paraId="128C76C2" w14:textId="77777777" w:rsidR="00131A10" w:rsidRPr="00A76BB7" w:rsidRDefault="00131A10" w:rsidP="00C825A0">
            <w:pPr>
              <w:keepNext/>
            </w:pPr>
          </w:p>
        </w:tc>
        <w:tc>
          <w:tcPr>
            <w:tcW w:w="4500" w:type="dxa"/>
            <w:tcBorders>
              <w:top w:val="single" w:sz="4" w:space="0" w:color="auto"/>
              <w:bottom w:val="single" w:sz="4" w:space="0" w:color="auto"/>
            </w:tcBorders>
            <w:vAlign w:val="center"/>
          </w:tcPr>
          <w:p w14:paraId="31B4B08B" w14:textId="77777777" w:rsidR="00131A10" w:rsidRPr="00A76BB7" w:rsidRDefault="00131A10" w:rsidP="00C825A0">
            <w:pPr>
              <w:keepNext/>
              <w:jc w:val="center"/>
            </w:pPr>
          </w:p>
        </w:tc>
      </w:tr>
      <w:tr w:rsidR="00131A10" w:rsidRPr="00C90A2E" w14:paraId="14D58AC4" w14:textId="77777777" w:rsidTr="00C825A0">
        <w:tc>
          <w:tcPr>
            <w:tcW w:w="4297" w:type="dxa"/>
            <w:tcBorders>
              <w:top w:val="single" w:sz="4" w:space="0" w:color="auto"/>
            </w:tcBorders>
            <w:vAlign w:val="center"/>
          </w:tcPr>
          <w:p w14:paraId="2EF5E916" w14:textId="77777777" w:rsidR="00131A10" w:rsidRPr="00A76BB7" w:rsidRDefault="00131A10" w:rsidP="00C825A0">
            <w:pPr>
              <w:keepNext/>
              <w:rPr>
                <w:lang w:val="fr-FR"/>
              </w:rPr>
            </w:pPr>
          </w:p>
        </w:tc>
        <w:tc>
          <w:tcPr>
            <w:tcW w:w="4500" w:type="dxa"/>
            <w:tcBorders>
              <w:top w:val="single" w:sz="4" w:space="0" w:color="auto"/>
            </w:tcBorders>
            <w:vAlign w:val="center"/>
          </w:tcPr>
          <w:p w14:paraId="2AFBB182" w14:textId="77777777" w:rsidR="00131A10" w:rsidRPr="00A76BB7" w:rsidRDefault="00131A10" w:rsidP="00C825A0">
            <w:pPr>
              <w:keepNext/>
              <w:jc w:val="center"/>
            </w:pPr>
          </w:p>
        </w:tc>
      </w:tr>
    </w:tbl>
    <w:p w14:paraId="5F394011" w14:textId="77777777" w:rsidR="00131A10" w:rsidRPr="00C7164A" w:rsidRDefault="00131A10" w:rsidP="00131A10">
      <w:pPr>
        <w:ind w:left="540" w:right="-187" w:hanging="540"/>
      </w:pPr>
    </w:p>
    <w:p w14:paraId="325BB53A" w14:textId="77777777" w:rsidR="00131A10" w:rsidRPr="00EF591D" w:rsidRDefault="00131A10" w:rsidP="00D3190E">
      <w:pPr>
        <w:keepNext/>
        <w:keepLines/>
        <w:ind w:left="547" w:right="-187" w:hanging="540"/>
        <w:rPr>
          <w:b/>
          <w:bCs/>
        </w:rPr>
      </w:pPr>
      <w:r w:rsidRPr="00EF591D">
        <w:rPr>
          <w:b/>
          <w:bCs/>
        </w:rPr>
        <w:lastRenderedPageBreak/>
        <w:t>6.</w:t>
      </w:r>
      <w:r>
        <w:tab/>
      </w:r>
      <w:r w:rsidRPr="00EF591D">
        <w:rPr>
          <w:b/>
          <w:bCs/>
        </w:rPr>
        <w:t>Subject Matter Outline</w:t>
      </w:r>
    </w:p>
    <w:p w14:paraId="03443EE0" w14:textId="77777777" w:rsidR="00131A10" w:rsidRPr="00A76BB7" w:rsidRDefault="00131A10" w:rsidP="00D3190E">
      <w:pPr>
        <w:keepNext/>
        <w:keepLines/>
        <w:ind w:left="547"/>
        <w:rPr>
          <w:i/>
          <w:iCs/>
          <w:highlight w:val="yellow"/>
        </w:rPr>
      </w:pPr>
      <w:r w:rsidRPr="00EF591D">
        <w:rPr>
          <w:i/>
          <w:iCs/>
        </w:rPr>
        <w:t>[Course subject matter should be directly aligned with Student Learning Outcomes</w:t>
      </w:r>
      <w:r w:rsidRPr="5DD9491A">
        <w:rPr>
          <w:i/>
          <w:iCs/>
        </w:rPr>
        <w:t xml:space="preserve"> and integrate equity-mindedness</w:t>
      </w:r>
      <w:r w:rsidRPr="00EF591D">
        <w:rPr>
          <w:i/>
          <w:iCs/>
        </w:rPr>
        <w:t>. The number of the corresponding SLO should appear in parentheses after relevant content.</w:t>
      </w:r>
      <w:r w:rsidRPr="5DD9491A">
        <w:rPr>
          <w:i/>
          <w:iCs/>
        </w:rPr>
        <w:t>]</w:t>
      </w:r>
    </w:p>
    <w:p w14:paraId="6C2CD1D1" w14:textId="77777777" w:rsidR="00131A10" w:rsidRPr="00EF591D" w:rsidRDefault="00131A10" w:rsidP="00131A10">
      <w:pPr>
        <w:ind w:left="1080" w:right="-187" w:hanging="540"/>
        <w:rPr>
          <w:highlight w:val="yellow"/>
        </w:rPr>
      </w:pPr>
    </w:p>
    <w:p w14:paraId="0E7A32D8" w14:textId="77777777" w:rsidR="00131A10" w:rsidRPr="00EF591D" w:rsidRDefault="00131A10" w:rsidP="00131A10">
      <w:pPr>
        <w:ind w:left="540" w:right="-187" w:hanging="540"/>
        <w:rPr>
          <w:b/>
          <w:bCs/>
        </w:rPr>
      </w:pPr>
      <w:r w:rsidRPr="00EF591D">
        <w:rPr>
          <w:b/>
          <w:bCs/>
        </w:rPr>
        <w:t>7.</w:t>
      </w:r>
      <w:r>
        <w:tab/>
      </w:r>
      <w:r w:rsidRPr="00EF591D">
        <w:rPr>
          <w:b/>
          <w:bCs/>
        </w:rPr>
        <w:t>Recommended Texts</w:t>
      </w:r>
      <w:r w:rsidRPr="35F4762F">
        <w:rPr>
          <w:b/>
          <w:bCs/>
        </w:rPr>
        <w:t xml:space="preserve"> </w:t>
      </w:r>
    </w:p>
    <w:p w14:paraId="00FD52E0" w14:textId="77777777" w:rsidR="00131A10" w:rsidRPr="00EF591D" w:rsidRDefault="00131A10" w:rsidP="00131A10">
      <w:pPr>
        <w:ind w:left="540" w:right="-187"/>
        <w:rPr>
          <w:i/>
          <w:iCs/>
        </w:rPr>
      </w:pPr>
      <w:r w:rsidRPr="00EF591D">
        <w:rPr>
          <w:i/>
          <w:iCs/>
        </w:rPr>
        <w:t xml:space="preserve">[Examples of texts should be provided and must include critical perspectives on the subject matter, including equity mindedness, as well as a diverse representation of authors and researchers. Multi-section courses may have required text(s) identified by the department/program that should be clearly identified in the SCO.] </w:t>
      </w:r>
    </w:p>
    <w:p w14:paraId="11611D04" w14:textId="77777777" w:rsidR="00131A10" w:rsidRPr="00EF591D" w:rsidRDefault="00131A10" w:rsidP="00131A10">
      <w:pPr>
        <w:ind w:left="1980" w:right="-187" w:hanging="900"/>
        <w:rPr>
          <w:highlight w:val="yellow"/>
        </w:rPr>
      </w:pPr>
    </w:p>
    <w:p w14:paraId="55A2DA6D" w14:textId="77777777" w:rsidR="00131A10" w:rsidRPr="00EF591D" w:rsidRDefault="00131A10" w:rsidP="00131A10">
      <w:pPr>
        <w:ind w:left="540" w:right="-187" w:hanging="540"/>
        <w:rPr>
          <w:b/>
          <w:bCs/>
        </w:rPr>
      </w:pPr>
      <w:r w:rsidRPr="35F4762F">
        <w:rPr>
          <w:b/>
          <w:bCs/>
        </w:rPr>
        <w:t>8.</w:t>
      </w:r>
      <w:r>
        <w:tab/>
      </w:r>
      <w:r w:rsidRPr="00EF591D">
        <w:rPr>
          <w:b/>
          <w:bCs/>
        </w:rPr>
        <w:t>Assessments</w:t>
      </w:r>
    </w:p>
    <w:p w14:paraId="63A260DF" w14:textId="77777777" w:rsidR="00131A10" w:rsidRPr="00C7164A" w:rsidRDefault="00131A10" w:rsidP="00131A10">
      <w:pPr>
        <w:ind w:left="540" w:right="-187"/>
        <w:rPr>
          <w:highlight w:val="yellow"/>
        </w:rPr>
      </w:pPr>
    </w:p>
    <w:p w14:paraId="676B484A" w14:textId="77777777" w:rsidR="00131A10" w:rsidRPr="00E12E54" w:rsidRDefault="00131A10" w:rsidP="00131A10">
      <w:pPr>
        <w:ind w:left="540" w:right="-187"/>
        <w:rPr>
          <w:i/>
          <w:iCs/>
        </w:rPr>
      </w:pPr>
      <w:r w:rsidRPr="00EF591D">
        <w:rPr>
          <w:i/>
          <w:iCs/>
        </w:rPr>
        <w:t>[The Standard Course Outline s</w:t>
      </w:r>
      <w:r w:rsidRPr="35F4762F">
        <w:rPr>
          <w:i/>
          <w:iCs/>
        </w:rPr>
        <w:t xml:space="preserve">hould contain examples of assessments that measure student performance on course SLOs and reflect equity-mindedness. The description of these examples of assessments should be sufficient to allow course instructors to incorporate them into course syllabi. The number of the corresponding SLO(s) should appear in the second column. One assessment may meet multiple SLOs. Any </w:t>
      </w:r>
      <w:r w:rsidRPr="35F4762F">
        <w:rPr>
          <w:b/>
          <w:bCs/>
          <w:i/>
          <w:iCs/>
        </w:rPr>
        <w:t>required</w:t>
      </w:r>
      <w:r w:rsidRPr="35F4762F">
        <w:rPr>
          <w:i/>
          <w:iCs/>
        </w:rPr>
        <w:t xml:space="preserve"> assessments identified by the department/program must be indicated in the table below.]</w:t>
      </w:r>
    </w:p>
    <w:p w14:paraId="19C133B3" w14:textId="77777777" w:rsidR="00131A10" w:rsidRPr="00C7164A" w:rsidRDefault="00131A10" w:rsidP="00131A10">
      <w:pPr>
        <w:tabs>
          <w:tab w:val="left" w:pos="7648"/>
        </w:tabs>
        <w:rPr>
          <w:b/>
          <w:bCs/>
        </w:rPr>
      </w:pPr>
      <w:r>
        <w:tab/>
      </w:r>
      <w:r w:rsidRPr="0CBBBFE0">
        <w:rPr>
          <w:b/>
          <w:bCs/>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9"/>
        <w:gridCol w:w="2371"/>
        <w:gridCol w:w="2212"/>
      </w:tblGrid>
      <w:tr w:rsidR="00131A10" w:rsidRPr="00C7164A" w14:paraId="75BAC992" w14:textId="77777777" w:rsidTr="00C825A0">
        <w:tc>
          <w:tcPr>
            <w:tcW w:w="4230" w:type="dxa"/>
            <w:vAlign w:val="center"/>
          </w:tcPr>
          <w:p w14:paraId="23E91453" w14:textId="77777777" w:rsidR="00131A10" w:rsidRPr="00C7164A" w:rsidRDefault="00131A10" w:rsidP="00C825A0">
            <w:pPr>
              <w:keepNext/>
              <w:keepLines/>
              <w:jc w:val="center"/>
              <w:rPr>
                <w:b/>
                <w:bCs/>
              </w:rPr>
            </w:pPr>
            <w:r w:rsidRPr="7093D3C4">
              <w:rPr>
                <w:b/>
                <w:bCs/>
              </w:rPr>
              <w:t>Assessment Description</w:t>
            </w:r>
          </w:p>
        </w:tc>
        <w:tc>
          <w:tcPr>
            <w:tcW w:w="2430" w:type="dxa"/>
            <w:vAlign w:val="center"/>
          </w:tcPr>
          <w:p w14:paraId="3FBD73C4" w14:textId="77777777" w:rsidR="00131A10" w:rsidRPr="00C7164A" w:rsidRDefault="00131A10" w:rsidP="00C825A0">
            <w:pPr>
              <w:keepNext/>
              <w:keepLines/>
              <w:jc w:val="center"/>
              <w:rPr>
                <w:b/>
                <w:bCs/>
              </w:rPr>
            </w:pPr>
            <w:r w:rsidRPr="7093D3C4">
              <w:rPr>
                <w:b/>
                <w:bCs/>
              </w:rPr>
              <w:t>Linked to SLO(s)</w:t>
            </w:r>
          </w:p>
        </w:tc>
        <w:tc>
          <w:tcPr>
            <w:tcW w:w="2250" w:type="dxa"/>
            <w:vAlign w:val="center"/>
          </w:tcPr>
          <w:p w14:paraId="620F0835" w14:textId="77777777" w:rsidR="00131A10" w:rsidRPr="00C7164A" w:rsidRDefault="00131A10" w:rsidP="00C825A0">
            <w:pPr>
              <w:keepNext/>
              <w:keepLines/>
              <w:jc w:val="center"/>
              <w:rPr>
                <w:b/>
                <w:bCs/>
              </w:rPr>
            </w:pPr>
            <w:r w:rsidRPr="7093D3C4">
              <w:rPr>
                <w:b/>
                <w:bCs/>
              </w:rPr>
              <w:t>Required?</w:t>
            </w:r>
          </w:p>
        </w:tc>
      </w:tr>
      <w:tr w:rsidR="00131A10" w:rsidRPr="00C7164A" w14:paraId="2BD863EC" w14:textId="77777777" w:rsidTr="00C825A0">
        <w:tc>
          <w:tcPr>
            <w:tcW w:w="4230" w:type="dxa"/>
            <w:vAlign w:val="center"/>
          </w:tcPr>
          <w:p w14:paraId="19D3CA98" w14:textId="77777777" w:rsidR="00131A10" w:rsidRPr="00C7164A" w:rsidRDefault="00131A10" w:rsidP="00C825A0">
            <w:pPr>
              <w:keepNext/>
              <w:keepLines/>
            </w:pPr>
            <w:r w:rsidRPr="7093D3C4">
              <w:t>Assessment # 1 (brief descriptive title and/or description)</w:t>
            </w:r>
          </w:p>
        </w:tc>
        <w:tc>
          <w:tcPr>
            <w:tcW w:w="2430" w:type="dxa"/>
            <w:vAlign w:val="center"/>
          </w:tcPr>
          <w:p w14:paraId="6D0FFA10" w14:textId="77777777" w:rsidR="00131A10" w:rsidRPr="00C7164A" w:rsidRDefault="00131A10" w:rsidP="00C825A0">
            <w:pPr>
              <w:keepNext/>
              <w:keepLines/>
              <w:jc w:val="center"/>
            </w:pPr>
            <w:r w:rsidRPr="7093D3C4">
              <w:t>SLO #X</w:t>
            </w:r>
          </w:p>
        </w:tc>
        <w:tc>
          <w:tcPr>
            <w:tcW w:w="2250" w:type="dxa"/>
            <w:vAlign w:val="center"/>
          </w:tcPr>
          <w:p w14:paraId="18F937A5" w14:textId="77777777" w:rsidR="00131A10" w:rsidRPr="00C7164A" w:rsidRDefault="00131A10" w:rsidP="00C825A0">
            <w:pPr>
              <w:keepNext/>
              <w:keepLines/>
              <w:jc w:val="center"/>
            </w:pPr>
          </w:p>
        </w:tc>
      </w:tr>
      <w:tr w:rsidR="00131A10" w:rsidRPr="00C7164A" w14:paraId="3B3220EA" w14:textId="77777777" w:rsidTr="00C825A0">
        <w:tc>
          <w:tcPr>
            <w:tcW w:w="4230" w:type="dxa"/>
            <w:vAlign w:val="center"/>
          </w:tcPr>
          <w:p w14:paraId="277E2A4E" w14:textId="77777777" w:rsidR="00131A10" w:rsidRPr="00C7164A" w:rsidRDefault="00131A10" w:rsidP="00C825A0">
            <w:r w:rsidRPr="7093D3C4">
              <w:t>Assessment # 2 (brief descriptive title and/or description)</w:t>
            </w:r>
          </w:p>
        </w:tc>
        <w:tc>
          <w:tcPr>
            <w:tcW w:w="2430" w:type="dxa"/>
            <w:vAlign w:val="center"/>
          </w:tcPr>
          <w:p w14:paraId="2E29B672" w14:textId="77777777" w:rsidR="00131A10" w:rsidRPr="00C7164A" w:rsidRDefault="00131A10" w:rsidP="00C825A0">
            <w:pPr>
              <w:jc w:val="center"/>
            </w:pPr>
            <w:r w:rsidRPr="7093D3C4">
              <w:t>SLO # X</w:t>
            </w:r>
          </w:p>
        </w:tc>
        <w:tc>
          <w:tcPr>
            <w:tcW w:w="2250" w:type="dxa"/>
            <w:vAlign w:val="center"/>
          </w:tcPr>
          <w:p w14:paraId="11491187" w14:textId="77777777" w:rsidR="00131A10" w:rsidRPr="00C7164A" w:rsidRDefault="00131A10" w:rsidP="00C825A0">
            <w:pPr>
              <w:jc w:val="center"/>
            </w:pPr>
          </w:p>
        </w:tc>
      </w:tr>
      <w:tr w:rsidR="00131A10" w:rsidRPr="00C7164A" w14:paraId="25ABDBD9" w14:textId="77777777" w:rsidTr="00C825A0">
        <w:tc>
          <w:tcPr>
            <w:tcW w:w="4230" w:type="dxa"/>
            <w:vAlign w:val="center"/>
          </w:tcPr>
          <w:p w14:paraId="0D2585AE" w14:textId="77777777" w:rsidR="00131A10" w:rsidRPr="00C7164A" w:rsidRDefault="00131A10" w:rsidP="00C825A0">
            <w:r w:rsidRPr="7093D3C4">
              <w:t>Assessment # 3 (brief descriptive title and/or description)</w:t>
            </w:r>
          </w:p>
        </w:tc>
        <w:tc>
          <w:tcPr>
            <w:tcW w:w="2430" w:type="dxa"/>
            <w:vAlign w:val="center"/>
          </w:tcPr>
          <w:p w14:paraId="7386216D" w14:textId="77777777" w:rsidR="00131A10" w:rsidRPr="00C7164A" w:rsidRDefault="00131A10" w:rsidP="00C825A0">
            <w:pPr>
              <w:jc w:val="center"/>
            </w:pPr>
            <w:r w:rsidRPr="7093D3C4">
              <w:t>SLO #X</w:t>
            </w:r>
          </w:p>
        </w:tc>
        <w:tc>
          <w:tcPr>
            <w:tcW w:w="2250" w:type="dxa"/>
            <w:vAlign w:val="center"/>
          </w:tcPr>
          <w:p w14:paraId="7BBD3BCB" w14:textId="77777777" w:rsidR="00131A10" w:rsidRPr="00C7164A" w:rsidRDefault="00131A10" w:rsidP="00C825A0">
            <w:pPr>
              <w:jc w:val="center"/>
            </w:pPr>
          </w:p>
        </w:tc>
      </w:tr>
      <w:tr w:rsidR="00131A10" w:rsidRPr="00C7164A" w14:paraId="79703CB6" w14:textId="77777777" w:rsidTr="00C825A0">
        <w:tc>
          <w:tcPr>
            <w:tcW w:w="4230" w:type="dxa"/>
            <w:vAlign w:val="center"/>
          </w:tcPr>
          <w:p w14:paraId="4D1DEC79" w14:textId="77777777" w:rsidR="00131A10" w:rsidRPr="00C7164A" w:rsidRDefault="00131A10" w:rsidP="00C825A0">
            <w:r w:rsidRPr="7093D3C4">
              <w:t>Assessment # 4 (brief descriptive title and/or description)</w:t>
            </w:r>
          </w:p>
        </w:tc>
        <w:tc>
          <w:tcPr>
            <w:tcW w:w="2430" w:type="dxa"/>
            <w:vAlign w:val="center"/>
          </w:tcPr>
          <w:p w14:paraId="1005B33B" w14:textId="77777777" w:rsidR="00131A10" w:rsidRPr="00C7164A" w:rsidRDefault="00131A10" w:rsidP="00C825A0">
            <w:pPr>
              <w:jc w:val="center"/>
            </w:pPr>
            <w:r w:rsidRPr="7093D3C4">
              <w:t>SLO # X</w:t>
            </w:r>
          </w:p>
        </w:tc>
        <w:tc>
          <w:tcPr>
            <w:tcW w:w="2250" w:type="dxa"/>
            <w:vAlign w:val="center"/>
          </w:tcPr>
          <w:p w14:paraId="45B986AC" w14:textId="77777777" w:rsidR="00131A10" w:rsidRPr="00C7164A" w:rsidRDefault="00131A10" w:rsidP="00C825A0">
            <w:pPr>
              <w:jc w:val="center"/>
            </w:pPr>
          </w:p>
        </w:tc>
      </w:tr>
      <w:tr w:rsidR="00131A10" w:rsidRPr="00C7164A" w14:paraId="09085BCA" w14:textId="77777777" w:rsidTr="00C825A0">
        <w:tc>
          <w:tcPr>
            <w:tcW w:w="4230" w:type="dxa"/>
            <w:vAlign w:val="center"/>
          </w:tcPr>
          <w:p w14:paraId="61D61637" w14:textId="77777777" w:rsidR="00131A10" w:rsidRPr="00C7164A" w:rsidRDefault="00131A10" w:rsidP="00C825A0">
            <w:r w:rsidRPr="7093D3C4">
              <w:t>Assessment # 5 (brief descriptive title and/or description)</w:t>
            </w:r>
          </w:p>
        </w:tc>
        <w:tc>
          <w:tcPr>
            <w:tcW w:w="2430" w:type="dxa"/>
            <w:vAlign w:val="center"/>
          </w:tcPr>
          <w:p w14:paraId="6D1F1ECF" w14:textId="77777777" w:rsidR="00131A10" w:rsidRPr="00C7164A" w:rsidRDefault="00131A10" w:rsidP="00C825A0">
            <w:pPr>
              <w:jc w:val="center"/>
            </w:pPr>
            <w:r w:rsidRPr="7093D3C4">
              <w:t>SLO #X</w:t>
            </w:r>
          </w:p>
        </w:tc>
        <w:tc>
          <w:tcPr>
            <w:tcW w:w="2250" w:type="dxa"/>
            <w:vAlign w:val="center"/>
          </w:tcPr>
          <w:p w14:paraId="5DEDDB71" w14:textId="77777777" w:rsidR="00131A10" w:rsidRPr="00C7164A" w:rsidRDefault="00131A10" w:rsidP="00C825A0">
            <w:pPr>
              <w:jc w:val="center"/>
            </w:pPr>
          </w:p>
        </w:tc>
      </w:tr>
    </w:tbl>
    <w:p w14:paraId="20B610C7" w14:textId="77777777" w:rsidR="00131A10" w:rsidRPr="00C7164A" w:rsidRDefault="00131A10" w:rsidP="00131A10">
      <w:pPr>
        <w:ind w:right="-187"/>
      </w:pPr>
    </w:p>
    <w:p w14:paraId="03AE6535" w14:textId="77777777" w:rsidR="00131A10" w:rsidRPr="00A76BB7" w:rsidRDefault="00131A10" w:rsidP="00131A10">
      <w:pPr>
        <w:ind w:left="540" w:right="-187"/>
      </w:pPr>
      <w:r w:rsidRPr="3B8B4614">
        <w:t xml:space="preserve">Instructors must include assessments identified by departments/programs as </w:t>
      </w:r>
      <w:r w:rsidRPr="3B8B4614">
        <w:rPr>
          <w:b/>
          <w:bCs/>
        </w:rPr>
        <w:t>required</w:t>
      </w:r>
      <w:r w:rsidRPr="3B8B4614">
        <w:t xml:space="preserve"> in their syllabi. </w:t>
      </w:r>
      <w:r w:rsidRPr="00A76BB7">
        <w:t xml:space="preserve">Aside from required assessments, instructors may </w:t>
      </w:r>
      <w:r w:rsidRPr="00A76BB7">
        <w:rPr>
          <w:color w:val="000000" w:themeColor="text1"/>
        </w:rPr>
        <w:t xml:space="preserve">choose from </w:t>
      </w:r>
      <w:r w:rsidRPr="00A76BB7">
        <w:t>those listed here or create their own assessments as long as they meet the course SLOs.</w:t>
      </w:r>
    </w:p>
    <w:p w14:paraId="546D5D99" w14:textId="77777777" w:rsidR="00131A10" w:rsidRPr="00E43346" w:rsidRDefault="00131A10" w:rsidP="00131A10">
      <w:pPr>
        <w:ind w:right="-187"/>
      </w:pPr>
    </w:p>
    <w:p w14:paraId="02AC8B08" w14:textId="77777777" w:rsidR="00131A10" w:rsidRPr="00EF591D" w:rsidRDefault="00131A10" w:rsidP="00131A10">
      <w:pPr>
        <w:ind w:left="540" w:right="-187" w:hanging="540"/>
        <w:rPr>
          <w:b/>
          <w:bCs/>
        </w:rPr>
      </w:pPr>
      <w:r w:rsidRPr="00EF591D">
        <w:rPr>
          <w:b/>
          <w:bCs/>
        </w:rPr>
        <w:t xml:space="preserve">9. </w:t>
      </w:r>
      <w:r w:rsidRPr="00EF591D">
        <w:rPr>
          <w:b/>
          <w:bCs/>
          <w:u w:val="single"/>
        </w:rPr>
        <w:t>Selected Instructor’s Bibliography</w:t>
      </w:r>
    </w:p>
    <w:p w14:paraId="305E5A38" w14:textId="77777777" w:rsidR="00131A10" w:rsidRPr="00EF591D" w:rsidRDefault="00131A10" w:rsidP="00131A10">
      <w:pPr>
        <w:ind w:left="1620" w:right="-187" w:hanging="900"/>
        <w:rPr>
          <w:i/>
          <w:iCs/>
        </w:rPr>
      </w:pPr>
      <w:r w:rsidRPr="00EF591D">
        <w:rPr>
          <w:i/>
          <w:iCs/>
        </w:rPr>
        <w:t>[1-2 pages; must be in APA format. Selected bibliography must include critical</w:t>
      </w:r>
      <w:r w:rsidRPr="35F4762F">
        <w:rPr>
          <w:i/>
          <w:iCs/>
        </w:rPr>
        <w:t xml:space="preserve"> </w:t>
      </w:r>
    </w:p>
    <w:p w14:paraId="2EB7E58C" w14:textId="77777777" w:rsidR="00131A10" w:rsidRPr="00FF4B3E" w:rsidRDefault="00131A10" w:rsidP="00131A10">
      <w:pPr>
        <w:ind w:left="720" w:right="-187"/>
        <w:rPr>
          <w:i/>
          <w:iCs/>
        </w:rPr>
      </w:pPr>
      <w:r w:rsidRPr="00EF591D">
        <w:rPr>
          <w:i/>
          <w:iCs/>
        </w:rPr>
        <w:t>and current perspectives on the subject matter, including equity-mindedness, as well as diverse representation of authors and researchers.]</w:t>
      </w:r>
    </w:p>
    <w:p w14:paraId="5FEDF61D" w14:textId="77777777" w:rsidR="00131A10" w:rsidRDefault="00131A10" w:rsidP="00131A10">
      <w:pPr>
        <w:ind w:left="720" w:right="-187"/>
        <w:rPr>
          <w:i/>
          <w:iCs/>
        </w:rPr>
      </w:pPr>
    </w:p>
    <w:p w14:paraId="3D790390" w14:textId="271F3BFB" w:rsidR="007F268E" w:rsidRPr="00131A10" w:rsidRDefault="00131A10" w:rsidP="00131A10">
      <w:r w:rsidRPr="00EF591D">
        <w:rPr>
          <w:rStyle w:val="Hyperlink"/>
          <w:color w:val="auto"/>
          <w:u w:val="none"/>
        </w:rPr>
        <w:t>*The term “equity-mindedness” addresses racial, ethnic, and other social inequities and refers to the perspective or mode of thinking exhibited by practitioners who call attention to patterns of inequity (e.g., policies, practices, and student outcomes). These practitioners are willing to take personal and institutional responsibility for the success of their students, and critically reassess their own practices (Center for Urban Education).</w:t>
      </w:r>
    </w:p>
    <w:sectPr w:rsidR="007F268E" w:rsidRPr="00131A10" w:rsidSect="0071663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8F92" w14:textId="77777777" w:rsidR="00EF0099" w:rsidRDefault="00EF0099" w:rsidP="00432BCA">
      <w:r>
        <w:separator/>
      </w:r>
    </w:p>
  </w:endnote>
  <w:endnote w:type="continuationSeparator" w:id="0">
    <w:p w14:paraId="5B22E922" w14:textId="77777777" w:rsidR="00EF0099" w:rsidRDefault="00EF0099" w:rsidP="00432BCA">
      <w:r>
        <w:continuationSeparator/>
      </w:r>
    </w:p>
  </w:endnote>
  <w:endnote w:type="continuationNotice" w:id="1">
    <w:p w14:paraId="4945DE31" w14:textId="77777777" w:rsidR="00EF0099" w:rsidRDefault="00EF0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5D5E" w14:textId="3634C012" w:rsidR="00AB2819" w:rsidRDefault="00AB2819" w:rsidP="00C02A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2E13FD4" w14:textId="77777777" w:rsidR="00AB2819" w:rsidRDefault="00AB2819" w:rsidP="00CE6E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2041883220"/>
      <w:docPartObj>
        <w:docPartGallery w:val="Page Numbers (Bottom of Page)"/>
        <w:docPartUnique/>
      </w:docPartObj>
    </w:sdtPr>
    <w:sdtEndPr>
      <w:rPr>
        <w:rStyle w:val="PageNumber"/>
      </w:rPr>
    </w:sdtEndPr>
    <w:sdtContent>
      <w:p w14:paraId="42C0CAC4" w14:textId="0C87C887" w:rsidR="00AB2819" w:rsidRPr="00D313D8" w:rsidRDefault="00AB2819" w:rsidP="00C02ADE">
        <w:pPr>
          <w:pStyle w:val="Footer"/>
          <w:framePr w:wrap="none" w:vAnchor="text" w:hAnchor="margin" w:xAlign="right" w:y="1"/>
          <w:rPr>
            <w:rStyle w:val="PageNumber"/>
            <w:rFonts w:ascii="Arial" w:hAnsi="Arial" w:cs="Arial"/>
            <w:sz w:val="20"/>
            <w:szCs w:val="20"/>
          </w:rPr>
        </w:pPr>
        <w:r w:rsidRPr="00D313D8">
          <w:rPr>
            <w:rStyle w:val="PageNumber"/>
            <w:rFonts w:ascii="Arial" w:hAnsi="Arial" w:cs="Arial"/>
            <w:sz w:val="18"/>
            <w:szCs w:val="18"/>
          </w:rPr>
          <w:fldChar w:fldCharType="begin"/>
        </w:r>
        <w:r w:rsidRPr="00D313D8">
          <w:rPr>
            <w:rStyle w:val="PageNumber"/>
            <w:rFonts w:ascii="Arial" w:hAnsi="Arial" w:cs="Arial"/>
            <w:sz w:val="18"/>
            <w:szCs w:val="18"/>
          </w:rPr>
          <w:instrText xml:space="preserve"> PAGE </w:instrText>
        </w:r>
        <w:r w:rsidRPr="00D313D8">
          <w:rPr>
            <w:rStyle w:val="PageNumber"/>
            <w:rFonts w:ascii="Arial" w:hAnsi="Arial" w:cs="Arial"/>
            <w:sz w:val="18"/>
            <w:szCs w:val="18"/>
          </w:rPr>
          <w:fldChar w:fldCharType="separate"/>
        </w:r>
        <w:r w:rsidRPr="00D313D8">
          <w:rPr>
            <w:rStyle w:val="PageNumber"/>
            <w:rFonts w:ascii="Arial" w:hAnsi="Arial" w:cs="Arial"/>
            <w:noProof/>
            <w:sz w:val="18"/>
            <w:szCs w:val="18"/>
          </w:rPr>
          <w:t>1</w:t>
        </w:r>
        <w:r w:rsidRPr="00D313D8">
          <w:rPr>
            <w:rStyle w:val="PageNumber"/>
            <w:rFonts w:ascii="Arial" w:hAnsi="Arial" w:cs="Arial"/>
            <w:sz w:val="18"/>
            <w:szCs w:val="18"/>
          </w:rPr>
          <w:fldChar w:fldCharType="end"/>
        </w:r>
      </w:p>
    </w:sdtContent>
  </w:sdt>
  <w:p w14:paraId="5D265C1C" w14:textId="5723B79E" w:rsidR="00272AC3" w:rsidRPr="00D313D8" w:rsidRDefault="00432BCA" w:rsidP="00CE6E1D">
    <w:pPr>
      <w:ind w:right="360"/>
      <w:jc w:val="right"/>
      <w:rPr>
        <w:rFonts w:ascii="Arial" w:hAnsi="Arial" w:cs="Arial"/>
        <w:sz w:val="18"/>
        <w:szCs w:val="18"/>
      </w:rPr>
    </w:pPr>
    <w:r w:rsidRPr="00D313D8">
      <w:rPr>
        <w:rFonts w:ascii="Arial" w:hAnsi="Arial" w:cs="Arial"/>
        <w:sz w:val="18"/>
        <w:szCs w:val="18"/>
      </w:rPr>
      <w:t xml:space="preserve">College of Education Curriculum Rev. </w:t>
    </w:r>
    <w:r w:rsidR="00D52F5A">
      <w:rPr>
        <w:rFonts w:ascii="Arial" w:hAnsi="Arial" w:cs="Arial"/>
        <w:sz w:val="18"/>
        <w:szCs w:val="18"/>
      </w:rPr>
      <w:t>5.27.22</w:t>
    </w:r>
  </w:p>
  <w:p w14:paraId="32B9B7D9" w14:textId="77777777" w:rsidR="00432BCA" w:rsidRPr="00432BCA" w:rsidRDefault="00432BCA" w:rsidP="00432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0566" w14:textId="77777777" w:rsidR="004C32FE" w:rsidRDefault="004C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611A" w14:textId="77777777" w:rsidR="00EF0099" w:rsidRDefault="00EF0099" w:rsidP="00432BCA">
      <w:r>
        <w:separator/>
      </w:r>
    </w:p>
  </w:footnote>
  <w:footnote w:type="continuationSeparator" w:id="0">
    <w:p w14:paraId="32820DE3" w14:textId="77777777" w:rsidR="00EF0099" w:rsidRDefault="00EF0099" w:rsidP="00432BCA">
      <w:r>
        <w:continuationSeparator/>
      </w:r>
    </w:p>
  </w:footnote>
  <w:footnote w:type="continuationNotice" w:id="1">
    <w:p w14:paraId="4AC4BB3E" w14:textId="77777777" w:rsidR="00EF0099" w:rsidRDefault="00EF0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886A" w14:textId="77777777" w:rsidR="004C32FE" w:rsidRDefault="004C3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7E46" w14:textId="77777777" w:rsidR="004C32FE" w:rsidRDefault="004C3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537B" w14:textId="77777777" w:rsidR="004C32FE" w:rsidRDefault="004C3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7FD0"/>
    <w:multiLevelType w:val="hybridMultilevel"/>
    <w:tmpl w:val="2DA09D34"/>
    <w:lvl w:ilvl="0" w:tplc="77127358">
      <w:start w:val="1"/>
      <w:numFmt w:val="bullet"/>
      <w:lvlText w:val=""/>
      <w:lvlJc w:val="left"/>
      <w:pPr>
        <w:ind w:left="720" w:hanging="360"/>
      </w:pPr>
      <w:rPr>
        <w:rFonts w:ascii="Symbol" w:hAnsi="Symbol" w:hint="default"/>
      </w:rPr>
    </w:lvl>
    <w:lvl w:ilvl="1" w:tplc="94805CEA">
      <w:start w:val="1"/>
      <w:numFmt w:val="bullet"/>
      <w:lvlText w:val=""/>
      <w:lvlJc w:val="left"/>
      <w:pPr>
        <w:ind w:left="1440" w:hanging="360"/>
      </w:pPr>
      <w:rPr>
        <w:rFonts w:ascii="Symbol" w:hAnsi="Symbol" w:hint="default"/>
      </w:rPr>
    </w:lvl>
    <w:lvl w:ilvl="2" w:tplc="E1D40874">
      <w:start w:val="1"/>
      <w:numFmt w:val="bullet"/>
      <w:lvlText w:val=""/>
      <w:lvlJc w:val="left"/>
      <w:pPr>
        <w:ind w:left="2160" w:hanging="360"/>
      </w:pPr>
      <w:rPr>
        <w:rFonts w:ascii="Wingdings" w:hAnsi="Wingdings" w:hint="default"/>
      </w:rPr>
    </w:lvl>
    <w:lvl w:ilvl="3" w:tplc="B8229560">
      <w:start w:val="1"/>
      <w:numFmt w:val="bullet"/>
      <w:lvlText w:val=""/>
      <w:lvlJc w:val="left"/>
      <w:pPr>
        <w:ind w:left="2880" w:hanging="360"/>
      </w:pPr>
      <w:rPr>
        <w:rFonts w:ascii="Symbol" w:hAnsi="Symbol" w:hint="default"/>
      </w:rPr>
    </w:lvl>
    <w:lvl w:ilvl="4" w:tplc="21528EA6">
      <w:start w:val="1"/>
      <w:numFmt w:val="bullet"/>
      <w:lvlText w:val="o"/>
      <w:lvlJc w:val="left"/>
      <w:pPr>
        <w:ind w:left="3600" w:hanging="360"/>
      </w:pPr>
      <w:rPr>
        <w:rFonts w:ascii="Courier New" w:hAnsi="Courier New" w:hint="default"/>
      </w:rPr>
    </w:lvl>
    <w:lvl w:ilvl="5" w:tplc="1F460724">
      <w:start w:val="1"/>
      <w:numFmt w:val="bullet"/>
      <w:lvlText w:val=""/>
      <w:lvlJc w:val="left"/>
      <w:pPr>
        <w:ind w:left="4320" w:hanging="360"/>
      </w:pPr>
      <w:rPr>
        <w:rFonts w:ascii="Wingdings" w:hAnsi="Wingdings" w:hint="default"/>
      </w:rPr>
    </w:lvl>
    <w:lvl w:ilvl="6" w:tplc="472CC1B6">
      <w:start w:val="1"/>
      <w:numFmt w:val="bullet"/>
      <w:lvlText w:val=""/>
      <w:lvlJc w:val="left"/>
      <w:pPr>
        <w:ind w:left="5040" w:hanging="360"/>
      </w:pPr>
      <w:rPr>
        <w:rFonts w:ascii="Symbol" w:hAnsi="Symbol" w:hint="default"/>
      </w:rPr>
    </w:lvl>
    <w:lvl w:ilvl="7" w:tplc="EB5A8226">
      <w:start w:val="1"/>
      <w:numFmt w:val="bullet"/>
      <w:lvlText w:val="o"/>
      <w:lvlJc w:val="left"/>
      <w:pPr>
        <w:ind w:left="5760" w:hanging="360"/>
      </w:pPr>
      <w:rPr>
        <w:rFonts w:ascii="Courier New" w:hAnsi="Courier New" w:hint="default"/>
      </w:rPr>
    </w:lvl>
    <w:lvl w:ilvl="8" w:tplc="575A73F6">
      <w:start w:val="1"/>
      <w:numFmt w:val="bullet"/>
      <w:lvlText w:val=""/>
      <w:lvlJc w:val="left"/>
      <w:pPr>
        <w:ind w:left="6480" w:hanging="360"/>
      </w:pPr>
      <w:rPr>
        <w:rFonts w:ascii="Wingdings" w:hAnsi="Wingdings" w:hint="default"/>
      </w:rPr>
    </w:lvl>
  </w:abstractNum>
  <w:abstractNum w:abstractNumId="1" w15:restartNumberingAfterBreak="0">
    <w:nsid w:val="10140F6B"/>
    <w:multiLevelType w:val="hybridMultilevel"/>
    <w:tmpl w:val="57886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A9690F"/>
    <w:multiLevelType w:val="hybridMultilevel"/>
    <w:tmpl w:val="5D8E76D4"/>
    <w:lvl w:ilvl="0" w:tplc="000F0409">
      <w:start w:val="9"/>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15:restartNumberingAfterBreak="0">
    <w:nsid w:val="27547E9D"/>
    <w:multiLevelType w:val="hybridMultilevel"/>
    <w:tmpl w:val="87E6EE22"/>
    <w:lvl w:ilvl="0" w:tplc="53F6753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E57C3"/>
    <w:multiLevelType w:val="hybridMultilevel"/>
    <w:tmpl w:val="4B66EFFC"/>
    <w:lvl w:ilvl="0" w:tplc="E6CEF234">
      <w:start w:val="1"/>
      <w:numFmt w:val="bullet"/>
      <w:lvlText w:val=""/>
      <w:lvlJc w:val="left"/>
      <w:pPr>
        <w:ind w:left="1800" w:hanging="360"/>
      </w:pPr>
      <w:rPr>
        <w:rFonts w:ascii="Symbol" w:hAnsi="Symbol" w:hint="default"/>
      </w:rPr>
    </w:lvl>
    <w:lvl w:ilvl="1" w:tplc="45EE0DDE" w:tentative="1">
      <w:start w:val="1"/>
      <w:numFmt w:val="bullet"/>
      <w:lvlText w:val="o"/>
      <w:lvlJc w:val="left"/>
      <w:pPr>
        <w:ind w:left="2520" w:hanging="360"/>
      </w:pPr>
      <w:rPr>
        <w:rFonts w:ascii="Courier New" w:hAnsi="Courier New" w:hint="default"/>
      </w:rPr>
    </w:lvl>
    <w:lvl w:ilvl="2" w:tplc="64EAE5F6" w:tentative="1">
      <w:start w:val="1"/>
      <w:numFmt w:val="bullet"/>
      <w:lvlText w:val=""/>
      <w:lvlJc w:val="left"/>
      <w:pPr>
        <w:ind w:left="3240" w:hanging="360"/>
      </w:pPr>
      <w:rPr>
        <w:rFonts w:ascii="Wingdings" w:hAnsi="Wingdings" w:hint="default"/>
      </w:rPr>
    </w:lvl>
    <w:lvl w:ilvl="3" w:tplc="C0646A68" w:tentative="1">
      <w:start w:val="1"/>
      <w:numFmt w:val="bullet"/>
      <w:lvlText w:val=""/>
      <w:lvlJc w:val="left"/>
      <w:pPr>
        <w:ind w:left="3960" w:hanging="360"/>
      </w:pPr>
      <w:rPr>
        <w:rFonts w:ascii="Symbol" w:hAnsi="Symbol" w:hint="default"/>
      </w:rPr>
    </w:lvl>
    <w:lvl w:ilvl="4" w:tplc="B1BE5C82" w:tentative="1">
      <w:start w:val="1"/>
      <w:numFmt w:val="bullet"/>
      <w:lvlText w:val="o"/>
      <w:lvlJc w:val="left"/>
      <w:pPr>
        <w:ind w:left="4680" w:hanging="360"/>
      </w:pPr>
      <w:rPr>
        <w:rFonts w:ascii="Courier New" w:hAnsi="Courier New" w:hint="default"/>
      </w:rPr>
    </w:lvl>
    <w:lvl w:ilvl="5" w:tplc="3BD26FAE" w:tentative="1">
      <w:start w:val="1"/>
      <w:numFmt w:val="bullet"/>
      <w:lvlText w:val=""/>
      <w:lvlJc w:val="left"/>
      <w:pPr>
        <w:ind w:left="5400" w:hanging="360"/>
      </w:pPr>
      <w:rPr>
        <w:rFonts w:ascii="Wingdings" w:hAnsi="Wingdings" w:hint="default"/>
      </w:rPr>
    </w:lvl>
    <w:lvl w:ilvl="6" w:tplc="C8921BDA" w:tentative="1">
      <w:start w:val="1"/>
      <w:numFmt w:val="bullet"/>
      <w:lvlText w:val=""/>
      <w:lvlJc w:val="left"/>
      <w:pPr>
        <w:ind w:left="6120" w:hanging="360"/>
      </w:pPr>
      <w:rPr>
        <w:rFonts w:ascii="Symbol" w:hAnsi="Symbol" w:hint="default"/>
      </w:rPr>
    </w:lvl>
    <w:lvl w:ilvl="7" w:tplc="F4786ABC" w:tentative="1">
      <w:start w:val="1"/>
      <w:numFmt w:val="bullet"/>
      <w:lvlText w:val="o"/>
      <w:lvlJc w:val="left"/>
      <w:pPr>
        <w:ind w:left="6840" w:hanging="360"/>
      </w:pPr>
      <w:rPr>
        <w:rFonts w:ascii="Courier New" w:hAnsi="Courier New" w:hint="default"/>
      </w:rPr>
    </w:lvl>
    <w:lvl w:ilvl="8" w:tplc="38C8CBF8" w:tentative="1">
      <w:start w:val="1"/>
      <w:numFmt w:val="bullet"/>
      <w:lvlText w:val=""/>
      <w:lvlJc w:val="left"/>
      <w:pPr>
        <w:ind w:left="7560" w:hanging="360"/>
      </w:pPr>
      <w:rPr>
        <w:rFonts w:ascii="Wingdings" w:hAnsi="Wingdings" w:hint="default"/>
      </w:rPr>
    </w:lvl>
  </w:abstractNum>
  <w:abstractNum w:abstractNumId="5" w15:restartNumberingAfterBreak="0">
    <w:nsid w:val="381D6252"/>
    <w:multiLevelType w:val="hybridMultilevel"/>
    <w:tmpl w:val="94807A8A"/>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71AFC"/>
    <w:multiLevelType w:val="hybridMultilevel"/>
    <w:tmpl w:val="E4CCF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157F74"/>
    <w:multiLevelType w:val="hybridMultilevel"/>
    <w:tmpl w:val="BEE0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4649D"/>
    <w:multiLevelType w:val="hybridMultilevel"/>
    <w:tmpl w:val="6BDE861A"/>
    <w:lvl w:ilvl="0" w:tplc="742E7720">
      <w:start w:val="8"/>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637E4"/>
    <w:multiLevelType w:val="hybridMultilevel"/>
    <w:tmpl w:val="E9504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C55640"/>
    <w:multiLevelType w:val="hybridMultilevel"/>
    <w:tmpl w:val="D47044B2"/>
    <w:lvl w:ilvl="0" w:tplc="671C1E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A004D"/>
    <w:multiLevelType w:val="hybridMultilevel"/>
    <w:tmpl w:val="8B34CC1A"/>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F2229"/>
    <w:multiLevelType w:val="hybridMultilevel"/>
    <w:tmpl w:val="7740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45BAE"/>
    <w:multiLevelType w:val="hybridMultilevel"/>
    <w:tmpl w:val="E9367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B614F6"/>
    <w:multiLevelType w:val="hybridMultilevel"/>
    <w:tmpl w:val="A5CE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C7A0A"/>
    <w:multiLevelType w:val="hybridMultilevel"/>
    <w:tmpl w:val="5E6000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55EFE"/>
    <w:multiLevelType w:val="hybridMultilevel"/>
    <w:tmpl w:val="043E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D83557"/>
    <w:multiLevelType w:val="hybridMultilevel"/>
    <w:tmpl w:val="0EE82F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413CD6"/>
    <w:multiLevelType w:val="hybridMultilevel"/>
    <w:tmpl w:val="E9ECBA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654293">
    <w:abstractNumId w:val="0"/>
  </w:num>
  <w:num w:numId="2" w16cid:durableId="77605676">
    <w:abstractNumId w:val="6"/>
  </w:num>
  <w:num w:numId="3" w16cid:durableId="31925855">
    <w:abstractNumId w:val="7"/>
  </w:num>
  <w:num w:numId="4" w16cid:durableId="1169907614">
    <w:abstractNumId w:val="12"/>
  </w:num>
  <w:num w:numId="5" w16cid:durableId="676690974">
    <w:abstractNumId w:val="3"/>
  </w:num>
  <w:num w:numId="6" w16cid:durableId="1562518755">
    <w:abstractNumId w:val="18"/>
  </w:num>
  <w:num w:numId="7" w16cid:durableId="2109347371">
    <w:abstractNumId w:val="16"/>
  </w:num>
  <w:num w:numId="8" w16cid:durableId="371224838">
    <w:abstractNumId w:val="13"/>
  </w:num>
  <w:num w:numId="9" w16cid:durableId="728922207">
    <w:abstractNumId w:val="9"/>
  </w:num>
  <w:num w:numId="10" w16cid:durableId="2004042071">
    <w:abstractNumId w:val="14"/>
  </w:num>
  <w:num w:numId="11" w16cid:durableId="1007445618">
    <w:abstractNumId w:val="1"/>
  </w:num>
  <w:num w:numId="12" w16cid:durableId="1709261862">
    <w:abstractNumId w:val="17"/>
  </w:num>
  <w:num w:numId="13" w16cid:durableId="408577291">
    <w:abstractNumId w:val="2"/>
  </w:num>
  <w:num w:numId="14" w16cid:durableId="492062659">
    <w:abstractNumId w:val="4"/>
  </w:num>
  <w:num w:numId="15" w16cid:durableId="234436648">
    <w:abstractNumId w:val="11"/>
  </w:num>
  <w:num w:numId="16" w16cid:durableId="976683297">
    <w:abstractNumId w:val="5"/>
  </w:num>
  <w:num w:numId="17" w16cid:durableId="1632131479">
    <w:abstractNumId w:val="15"/>
  </w:num>
  <w:num w:numId="18" w16cid:durableId="2050492735">
    <w:abstractNumId w:val="10"/>
  </w:num>
  <w:num w:numId="19" w16cid:durableId="1655983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630"/>
    <w:rsid w:val="000071D7"/>
    <w:rsid w:val="000076C5"/>
    <w:rsid w:val="000174DB"/>
    <w:rsid w:val="0004392C"/>
    <w:rsid w:val="0004716F"/>
    <w:rsid w:val="000568E0"/>
    <w:rsid w:val="00057713"/>
    <w:rsid w:val="0007045F"/>
    <w:rsid w:val="00072D03"/>
    <w:rsid w:val="0007559F"/>
    <w:rsid w:val="00082B33"/>
    <w:rsid w:val="0008593E"/>
    <w:rsid w:val="0009299B"/>
    <w:rsid w:val="000A11E8"/>
    <w:rsid w:val="000A3516"/>
    <w:rsid w:val="000C3215"/>
    <w:rsid w:val="000C6739"/>
    <w:rsid w:val="000D19B4"/>
    <w:rsid w:val="000D2A74"/>
    <w:rsid w:val="000D52A0"/>
    <w:rsid w:val="000D56DC"/>
    <w:rsid w:val="000F047F"/>
    <w:rsid w:val="000F273A"/>
    <w:rsid w:val="000F56A6"/>
    <w:rsid w:val="00100A95"/>
    <w:rsid w:val="00110C6E"/>
    <w:rsid w:val="0011148F"/>
    <w:rsid w:val="00131A10"/>
    <w:rsid w:val="001515A4"/>
    <w:rsid w:val="00160086"/>
    <w:rsid w:val="001707BB"/>
    <w:rsid w:val="00174A09"/>
    <w:rsid w:val="00182A0E"/>
    <w:rsid w:val="001945B6"/>
    <w:rsid w:val="001B2A25"/>
    <w:rsid w:val="001E1C75"/>
    <w:rsid w:val="001F0345"/>
    <w:rsid w:val="001F0B55"/>
    <w:rsid w:val="001F6652"/>
    <w:rsid w:val="001F7615"/>
    <w:rsid w:val="00245160"/>
    <w:rsid w:val="00253695"/>
    <w:rsid w:val="00264349"/>
    <w:rsid w:val="002659F4"/>
    <w:rsid w:val="00272923"/>
    <w:rsid w:val="00272AC3"/>
    <w:rsid w:val="0028007B"/>
    <w:rsid w:val="00285684"/>
    <w:rsid w:val="002B0CF5"/>
    <w:rsid w:val="002E13D3"/>
    <w:rsid w:val="002E3C7A"/>
    <w:rsid w:val="00307D6B"/>
    <w:rsid w:val="00311D6A"/>
    <w:rsid w:val="00320070"/>
    <w:rsid w:val="003219E6"/>
    <w:rsid w:val="003435AF"/>
    <w:rsid w:val="003504EE"/>
    <w:rsid w:val="00354B0A"/>
    <w:rsid w:val="00376057"/>
    <w:rsid w:val="00381BBA"/>
    <w:rsid w:val="00382FA5"/>
    <w:rsid w:val="003864A6"/>
    <w:rsid w:val="0038795A"/>
    <w:rsid w:val="00392B9D"/>
    <w:rsid w:val="00396C46"/>
    <w:rsid w:val="003B078F"/>
    <w:rsid w:val="003B1C1D"/>
    <w:rsid w:val="003B3E78"/>
    <w:rsid w:val="003B42B9"/>
    <w:rsid w:val="003B6C63"/>
    <w:rsid w:val="003C2F56"/>
    <w:rsid w:val="003F347F"/>
    <w:rsid w:val="00400A09"/>
    <w:rsid w:val="00430579"/>
    <w:rsid w:val="0043225A"/>
    <w:rsid w:val="00432BCA"/>
    <w:rsid w:val="0043352F"/>
    <w:rsid w:val="004447F1"/>
    <w:rsid w:val="00445D6C"/>
    <w:rsid w:val="00463427"/>
    <w:rsid w:val="00463B1F"/>
    <w:rsid w:val="00465D7F"/>
    <w:rsid w:val="00483709"/>
    <w:rsid w:val="004A5ACB"/>
    <w:rsid w:val="004A6AC3"/>
    <w:rsid w:val="004B6BB1"/>
    <w:rsid w:val="004C05D1"/>
    <w:rsid w:val="004C32FE"/>
    <w:rsid w:val="004C5EBF"/>
    <w:rsid w:val="004C6511"/>
    <w:rsid w:val="004D12CE"/>
    <w:rsid w:val="004D1356"/>
    <w:rsid w:val="004D4FD8"/>
    <w:rsid w:val="004D5609"/>
    <w:rsid w:val="004D6F3D"/>
    <w:rsid w:val="004D7D15"/>
    <w:rsid w:val="004F0024"/>
    <w:rsid w:val="004F160C"/>
    <w:rsid w:val="004F481B"/>
    <w:rsid w:val="004F6B96"/>
    <w:rsid w:val="005071B0"/>
    <w:rsid w:val="00512AC4"/>
    <w:rsid w:val="0054F4B9"/>
    <w:rsid w:val="00553948"/>
    <w:rsid w:val="00553C7F"/>
    <w:rsid w:val="00565FC5"/>
    <w:rsid w:val="005753C1"/>
    <w:rsid w:val="00590858"/>
    <w:rsid w:val="005B77C6"/>
    <w:rsid w:val="005D5B11"/>
    <w:rsid w:val="00605CF6"/>
    <w:rsid w:val="00610985"/>
    <w:rsid w:val="00624278"/>
    <w:rsid w:val="006262D2"/>
    <w:rsid w:val="00626AC3"/>
    <w:rsid w:val="0063198E"/>
    <w:rsid w:val="00640151"/>
    <w:rsid w:val="00645E54"/>
    <w:rsid w:val="00646B8E"/>
    <w:rsid w:val="00657AF5"/>
    <w:rsid w:val="006600C8"/>
    <w:rsid w:val="0067224C"/>
    <w:rsid w:val="0067561E"/>
    <w:rsid w:val="0068519C"/>
    <w:rsid w:val="0069012D"/>
    <w:rsid w:val="006A1503"/>
    <w:rsid w:val="006A2621"/>
    <w:rsid w:val="006B0314"/>
    <w:rsid w:val="006C6020"/>
    <w:rsid w:val="006D7A53"/>
    <w:rsid w:val="006E46F3"/>
    <w:rsid w:val="00704458"/>
    <w:rsid w:val="00711C80"/>
    <w:rsid w:val="00713085"/>
    <w:rsid w:val="00716630"/>
    <w:rsid w:val="00721B31"/>
    <w:rsid w:val="007339D7"/>
    <w:rsid w:val="0075014A"/>
    <w:rsid w:val="007554C5"/>
    <w:rsid w:val="007601D7"/>
    <w:rsid w:val="007632DF"/>
    <w:rsid w:val="00773899"/>
    <w:rsid w:val="007872C6"/>
    <w:rsid w:val="00796329"/>
    <w:rsid w:val="007A564E"/>
    <w:rsid w:val="007A78A0"/>
    <w:rsid w:val="007B0C96"/>
    <w:rsid w:val="007B0ED7"/>
    <w:rsid w:val="007B1E9F"/>
    <w:rsid w:val="007B1F52"/>
    <w:rsid w:val="007B6B9E"/>
    <w:rsid w:val="007F268E"/>
    <w:rsid w:val="00804DFE"/>
    <w:rsid w:val="00815D20"/>
    <w:rsid w:val="00816BDF"/>
    <w:rsid w:val="00832467"/>
    <w:rsid w:val="00845B85"/>
    <w:rsid w:val="0085094F"/>
    <w:rsid w:val="00855100"/>
    <w:rsid w:val="00862932"/>
    <w:rsid w:val="008631DE"/>
    <w:rsid w:val="00866EDE"/>
    <w:rsid w:val="00890758"/>
    <w:rsid w:val="00894D0A"/>
    <w:rsid w:val="008B23B9"/>
    <w:rsid w:val="008B35B9"/>
    <w:rsid w:val="008C53BA"/>
    <w:rsid w:val="008D0A85"/>
    <w:rsid w:val="008D76D7"/>
    <w:rsid w:val="008F0F54"/>
    <w:rsid w:val="008F4DB9"/>
    <w:rsid w:val="009011D4"/>
    <w:rsid w:val="00904183"/>
    <w:rsid w:val="0092362E"/>
    <w:rsid w:val="009311C5"/>
    <w:rsid w:val="009331FE"/>
    <w:rsid w:val="0095057F"/>
    <w:rsid w:val="00956E34"/>
    <w:rsid w:val="00960243"/>
    <w:rsid w:val="00960B3E"/>
    <w:rsid w:val="00963F45"/>
    <w:rsid w:val="00972A3A"/>
    <w:rsid w:val="0098244A"/>
    <w:rsid w:val="00991E5F"/>
    <w:rsid w:val="00993899"/>
    <w:rsid w:val="009A6E48"/>
    <w:rsid w:val="009C06A4"/>
    <w:rsid w:val="009C47EC"/>
    <w:rsid w:val="009D1CF8"/>
    <w:rsid w:val="009D4F1A"/>
    <w:rsid w:val="009E2CB1"/>
    <w:rsid w:val="009E2F73"/>
    <w:rsid w:val="009E6CFB"/>
    <w:rsid w:val="00A23830"/>
    <w:rsid w:val="00A242B9"/>
    <w:rsid w:val="00A42415"/>
    <w:rsid w:val="00A42DBC"/>
    <w:rsid w:val="00A57CC8"/>
    <w:rsid w:val="00A609BD"/>
    <w:rsid w:val="00A63BB8"/>
    <w:rsid w:val="00A76BB7"/>
    <w:rsid w:val="00AA55D5"/>
    <w:rsid w:val="00AA5C70"/>
    <w:rsid w:val="00AB2819"/>
    <w:rsid w:val="00AC1250"/>
    <w:rsid w:val="00AC195B"/>
    <w:rsid w:val="00AC2688"/>
    <w:rsid w:val="00AD3307"/>
    <w:rsid w:val="00AD6157"/>
    <w:rsid w:val="00AE3D99"/>
    <w:rsid w:val="00AE5D06"/>
    <w:rsid w:val="00AE6730"/>
    <w:rsid w:val="00AE6FC6"/>
    <w:rsid w:val="00B20BED"/>
    <w:rsid w:val="00B37181"/>
    <w:rsid w:val="00B5220C"/>
    <w:rsid w:val="00B77125"/>
    <w:rsid w:val="00B97480"/>
    <w:rsid w:val="00BA5233"/>
    <w:rsid w:val="00BB515A"/>
    <w:rsid w:val="00BB7AFB"/>
    <w:rsid w:val="00BD1886"/>
    <w:rsid w:val="00BD427C"/>
    <w:rsid w:val="00BD62B0"/>
    <w:rsid w:val="00BE61D5"/>
    <w:rsid w:val="00BE70DF"/>
    <w:rsid w:val="00BE724F"/>
    <w:rsid w:val="00BF3DF9"/>
    <w:rsid w:val="00C0163E"/>
    <w:rsid w:val="00C079AE"/>
    <w:rsid w:val="00C15C4E"/>
    <w:rsid w:val="00C352BE"/>
    <w:rsid w:val="00C36DFD"/>
    <w:rsid w:val="00C402B1"/>
    <w:rsid w:val="00C41F15"/>
    <w:rsid w:val="00C67853"/>
    <w:rsid w:val="00C765B4"/>
    <w:rsid w:val="00C87BD2"/>
    <w:rsid w:val="00C90A2E"/>
    <w:rsid w:val="00CA0CFC"/>
    <w:rsid w:val="00CB52F3"/>
    <w:rsid w:val="00CC0FC9"/>
    <w:rsid w:val="00CD30DD"/>
    <w:rsid w:val="00CE00AD"/>
    <w:rsid w:val="00CE6904"/>
    <w:rsid w:val="00CE6E1D"/>
    <w:rsid w:val="00D14F29"/>
    <w:rsid w:val="00D16E6C"/>
    <w:rsid w:val="00D17AD7"/>
    <w:rsid w:val="00D22C34"/>
    <w:rsid w:val="00D2758B"/>
    <w:rsid w:val="00D30577"/>
    <w:rsid w:val="00D313D8"/>
    <w:rsid w:val="00D3190E"/>
    <w:rsid w:val="00D356E2"/>
    <w:rsid w:val="00D422A4"/>
    <w:rsid w:val="00D52F5A"/>
    <w:rsid w:val="00D66268"/>
    <w:rsid w:val="00D671B4"/>
    <w:rsid w:val="00D71FD0"/>
    <w:rsid w:val="00D728AD"/>
    <w:rsid w:val="00D7611D"/>
    <w:rsid w:val="00D858BB"/>
    <w:rsid w:val="00D96AE1"/>
    <w:rsid w:val="00D97F6D"/>
    <w:rsid w:val="00DB0591"/>
    <w:rsid w:val="00DB4583"/>
    <w:rsid w:val="00DC162B"/>
    <w:rsid w:val="00DC5401"/>
    <w:rsid w:val="00DC56E4"/>
    <w:rsid w:val="00DC7207"/>
    <w:rsid w:val="00DC7581"/>
    <w:rsid w:val="00DE5B43"/>
    <w:rsid w:val="00DF221A"/>
    <w:rsid w:val="00E118BA"/>
    <w:rsid w:val="00E12E54"/>
    <w:rsid w:val="00E337DA"/>
    <w:rsid w:val="00E34D3B"/>
    <w:rsid w:val="00E43346"/>
    <w:rsid w:val="00E8051E"/>
    <w:rsid w:val="00EC168B"/>
    <w:rsid w:val="00EC6D91"/>
    <w:rsid w:val="00ED1304"/>
    <w:rsid w:val="00ED704E"/>
    <w:rsid w:val="00EE5393"/>
    <w:rsid w:val="00EF0099"/>
    <w:rsid w:val="00EF11C3"/>
    <w:rsid w:val="00EF1DDF"/>
    <w:rsid w:val="00EF6F68"/>
    <w:rsid w:val="00F00E5C"/>
    <w:rsid w:val="00F12B23"/>
    <w:rsid w:val="00F17E7E"/>
    <w:rsid w:val="00F32FD5"/>
    <w:rsid w:val="00F4333B"/>
    <w:rsid w:val="00F47F97"/>
    <w:rsid w:val="00F63A41"/>
    <w:rsid w:val="00F7007D"/>
    <w:rsid w:val="00F70DB9"/>
    <w:rsid w:val="00F875E3"/>
    <w:rsid w:val="00F91592"/>
    <w:rsid w:val="00F9265A"/>
    <w:rsid w:val="00F9507A"/>
    <w:rsid w:val="00FA5C6B"/>
    <w:rsid w:val="00FA6DA7"/>
    <w:rsid w:val="00FA7050"/>
    <w:rsid w:val="00FB0DCB"/>
    <w:rsid w:val="00FB2158"/>
    <w:rsid w:val="00FB46EF"/>
    <w:rsid w:val="00FC7711"/>
    <w:rsid w:val="00FD2A91"/>
    <w:rsid w:val="00FD4249"/>
    <w:rsid w:val="00FD5508"/>
    <w:rsid w:val="00FF3187"/>
    <w:rsid w:val="00FF4B3E"/>
    <w:rsid w:val="0181CBFD"/>
    <w:rsid w:val="02030BBA"/>
    <w:rsid w:val="022F59DE"/>
    <w:rsid w:val="0232F982"/>
    <w:rsid w:val="02348D19"/>
    <w:rsid w:val="02777C2B"/>
    <w:rsid w:val="04B4D4E3"/>
    <w:rsid w:val="05741B61"/>
    <w:rsid w:val="07D1C696"/>
    <w:rsid w:val="0860069E"/>
    <w:rsid w:val="08ABBB43"/>
    <w:rsid w:val="08F6D935"/>
    <w:rsid w:val="09A4C646"/>
    <w:rsid w:val="09CBB51A"/>
    <w:rsid w:val="0A51E59E"/>
    <w:rsid w:val="0C317693"/>
    <w:rsid w:val="0C7241F6"/>
    <w:rsid w:val="0CBBBFE0"/>
    <w:rsid w:val="0D773FC0"/>
    <w:rsid w:val="0D9F4514"/>
    <w:rsid w:val="0DCD46F4"/>
    <w:rsid w:val="0EFA63E5"/>
    <w:rsid w:val="15BF307C"/>
    <w:rsid w:val="17CB6A66"/>
    <w:rsid w:val="19948CFD"/>
    <w:rsid w:val="1A18801B"/>
    <w:rsid w:val="1A577C3A"/>
    <w:rsid w:val="1BD666FD"/>
    <w:rsid w:val="1E8D09A8"/>
    <w:rsid w:val="2271690E"/>
    <w:rsid w:val="23EA3184"/>
    <w:rsid w:val="256E901D"/>
    <w:rsid w:val="29FDBB5F"/>
    <w:rsid w:val="2B2FD061"/>
    <w:rsid w:val="2ED64CE9"/>
    <w:rsid w:val="3315B894"/>
    <w:rsid w:val="34B3CCF6"/>
    <w:rsid w:val="37DFFB9B"/>
    <w:rsid w:val="3B8B4614"/>
    <w:rsid w:val="3B9E74B3"/>
    <w:rsid w:val="3C66BD58"/>
    <w:rsid w:val="3F258204"/>
    <w:rsid w:val="3F4DD404"/>
    <w:rsid w:val="4121E0CA"/>
    <w:rsid w:val="41B54060"/>
    <w:rsid w:val="41BAB2E3"/>
    <w:rsid w:val="42C3A4D9"/>
    <w:rsid w:val="42C4971C"/>
    <w:rsid w:val="4372B345"/>
    <w:rsid w:val="46E6B1E0"/>
    <w:rsid w:val="487FF457"/>
    <w:rsid w:val="48A1D6F1"/>
    <w:rsid w:val="48D9E817"/>
    <w:rsid w:val="4A5C901B"/>
    <w:rsid w:val="4AAF2838"/>
    <w:rsid w:val="4C9CFA55"/>
    <w:rsid w:val="4E442BD1"/>
    <w:rsid w:val="4EEE227E"/>
    <w:rsid w:val="5354E7A9"/>
    <w:rsid w:val="539E4B1B"/>
    <w:rsid w:val="56BC1517"/>
    <w:rsid w:val="579F493C"/>
    <w:rsid w:val="5A877C12"/>
    <w:rsid w:val="5AC6BCDB"/>
    <w:rsid w:val="5CE532D6"/>
    <w:rsid w:val="5D024739"/>
    <w:rsid w:val="5D2752C1"/>
    <w:rsid w:val="5E6FED44"/>
    <w:rsid w:val="5EB00CC1"/>
    <w:rsid w:val="5F71D8B8"/>
    <w:rsid w:val="63EF2766"/>
    <w:rsid w:val="6413F428"/>
    <w:rsid w:val="65340CBA"/>
    <w:rsid w:val="6644E410"/>
    <w:rsid w:val="688ED489"/>
    <w:rsid w:val="696475C3"/>
    <w:rsid w:val="6989B49C"/>
    <w:rsid w:val="6CDCCCED"/>
    <w:rsid w:val="6ED1089F"/>
    <w:rsid w:val="6FE1E092"/>
    <w:rsid w:val="7093D3C4"/>
    <w:rsid w:val="7173C8D6"/>
    <w:rsid w:val="7205BED3"/>
    <w:rsid w:val="73124335"/>
    <w:rsid w:val="74DA452B"/>
    <w:rsid w:val="760FD4DF"/>
    <w:rsid w:val="78630B30"/>
    <w:rsid w:val="7906B86E"/>
    <w:rsid w:val="791D0DC5"/>
    <w:rsid w:val="7A274457"/>
    <w:rsid w:val="7B77779C"/>
    <w:rsid w:val="7C261D6E"/>
    <w:rsid w:val="7EBBE03E"/>
    <w:rsid w:val="7F4FF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F780"/>
  <w15:chartTrackingRefBased/>
  <w15:docId w15:val="{BAA5147E-EE98-49BE-930D-B50963E9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268E"/>
    <w:pPr>
      <w:keepNext/>
      <w:ind w:right="-1440"/>
      <w:jc w:val="center"/>
      <w:outlineLvl w:val="0"/>
    </w:pPr>
    <w:rPr>
      <w:rFonts w:ascii="Palatino" w:eastAsia="Times" w:hAnsi="Palatino"/>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3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32BC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32BCA"/>
  </w:style>
  <w:style w:type="paragraph" w:styleId="Footer">
    <w:name w:val="footer"/>
    <w:basedOn w:val="Normal"/>
    <w:link w:val="FooterChar"/>
    <w:uiPriority w:val="99"/>
    <w:unhideWhenUsed/>
    <w:rsid w:val="00432BC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32BCA"/>
  </w:style>
  <w:style w:type="character" w:styleId="Hyperlink">
    <w:name w:val="Hyperlink"/>
    <w:basedOn w:val="DefaultParagraphFont"/>
    <w:uiPriority w:val="99"/>
    <w:unhideWhenUsed/>
    <w:rsid w:val="00D671B4"/>
    <w:rPr>
      <w:color w:val="0563C1" w:themeColor="hyperlink"/>
      <w:u w:val="single"/>
    </w:rPr>
  </w:style>
  <w:style w:type="character" w:customStyle="1" w:styleId="UnresolvedMention1">
    <w:name w:val="Unresolved Mention1"/>
    <w:basedOn w:val="DefaultParagraphFont"/>
    <w:uiPriority w:val="99"/>
    <w:semiHidden/>
    <w:unhideWhenUsed/>
    <w:rsid w:val="00D671B4"/>
    <w:rPr>
      <w:color w:val="605E5C"/>
      <w:shd w:val="clear" w:color="auto" w:fill="E1DFDD"/>
    </w:rPr>
  </w:style>
  <w:style w:type="character" w:styleId="FollowedHyperlink">
    <w:name w:val="FollowedHyperlink"/>
    <w:basedOn w:val="DefaultParagraphFont"/>
    <w:uiPriority w:val="99"/>
    <w:semiHidden/>
    <w:unhideWhenUsed/>
    <w:rsid w:val="00713085"/>
    <w:rPr>
      <w:color w:val="954F72" w:themeColor="followedHyperlink"/>
      <w:u w:val="single"/>
    </w:rPr>
  </w:style>
  <w:style w:type="paragraph" w:styleId="BalloonText">
    <w:name w:val="Balloon Text"/>
    <w:basedOn w:val="Normal"/>
    <w:link w:val="BalloonTextChar"/>
    <w:uiPriority w:val="99"/>
    <w:semiHidden/>
    <w:unhideWhenUsed/>
    <w:rsid w:val="00110C6E"/>
    <w:rPr>
      <w:rFonts w:eastAsiaTheme="minorHAnsi"/>
      <w:sz w:val="18"/>
      <w:szCs w:val="18"/>
    </w:rPr>
  </w:style>
  <w:style w:type="character" w:customStyle="1" w:styleId="BalloonTextChar">
    <w:name w:val="Balloon Text Char"/>
    <w:basedOn w:val="DefaultParagraphFont"/>
    <w:link w:val="BalloonText"/>
    <w:uiPriority w:val="99"/>
    <w:semiHidden/>
    <w:rsid w:val="00110C6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C6739"/>
    <w:rPr>
      <w:sz w:val="16"/>
      <w:szCs w:val="16"/>
    </w:rPr>
  </w:style>
  <w:style w:type="paragraph" w:styleId="CommentText">
    <w:name w:val="annotation text"/>
    <w:basedOn w:val="Normal"/>
    <w:link w:val="CommentTextChar"/>
    <w:uiPriority w:val="99"/>
    <w:unhideWhenUsed/>
    <w:rsid w:val="000C673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C6739"/>
    <w:rPr>
      <w:sz w:val="20"/>
      <w:szCs w:val="20"/>
    </w:rPr>
  </w:style>
  <w:style w:type="paragraph" w:styleId="CommentSubject">
    <w:name w:val="annotation subject"/>
    <w:basedOn w:val="CommentText"/>
    <w:next w:val="CommentText"/>
    <w:link w:val="CommentSubjectChar"/>
    <w:uiPriority w:val="99"/>
    <w:semiHidden/>
    <w:unhideWhenUsed/>
    <w:rsid w:val="000C6739"/>
    <w:rPr>
      <w:b/>
      <w:bCs/>
    </w:rPr>
  </w:style>
  <w:style w:type="character" w:customStyle="1" w:styleId="CommentSubjectChar">
    <w:name w:val="Comment Subject Char"/>
    <w:basedOn w:val="CommentTextChar"/>
    <w:link w:val="CommentSubject"/>
    <w:uiPriority w:val="99"/>
    <w:semiHidden/>
    <w:rsid w:val="000C6739"/>
    <w:rPr>
      <w:b/>
      <w:bCs/>
      <w:sz w:val="20"/>
      <w:szCs w:val="20"/>
    </w:rPr>
  </w:style>
  <w:style w:type="paragraph" w:styleId="Revision">
    <w:name w:val="Revision"/>
    <w:hidden/>
    <w:uiPriority w:val="99"/>
    <w:semiHidden/>
    <w:rsid w:val="00AA55D5"/>
    <w:pPr>
      <w:spacing w:after="0" w:line="240" w:lineRule="auto"/>
    </w:pPr>
  </w:style>
  <w:style w:type="character" w:customStyle="1" w:styleId="Heading1Char">
    <w:name w:val="Heading 1 Char"/>
    <w:basedOn w:val="DefaultParagraphFont"/>
    <w:link w:val="Heading1"/>
    <w:rsid w:val="007F268E"/>
    <w:rPr>
      <w:rFonts w:ascii="Palatino" w:eastAsia="Times" w:hAnsi="Palatino" w:cs="Times New Roman"/>
      <w:b/>
      <w:sz w:val="32"/>
      <w:szCs w:val="20"/>
    </w:rPr>
  </w:style>
  <w:style w:type="paragraph" w:styleId="Title">
    <w:name w:val="Title"/>
    <w:basedOn w:val="Normal"/>
    <w:link w:val="TitleChar"/>
    <w:qFormat/>
    <w:rsid w:val="007F268E"/>
    <w:pPr>
      <w:jc w:val="center"/>
    </w:pPr>
    <w:rPr>
      <w:rFonts w:ascii="Times" w:eastAsia="Times" w:hAnsi="Times"/>
      <w:sz w:val="52"/>
      <w:szCs w:val="20"/>
    </w:rPr>
  </w:style>
  <w:style w:type="character" w:customStyle="1" w:styleId="TitleChar">
    <w:name w:val="Title Char"/>
    <w:basedOn w:val="DefaultParagraphFont"/>
    <w:link w:val="Title"/>
    <w:rsid w:val="007F268E"/>
    <w:rPr>
      <w:rFonts w:ascii="Times" w:eastAsia="Times" w:hAnsi="Times" w:cs="Times New Roman"/>
      <w:sz w:val="52"/>
      <w:szCs w:val="20"/>
    </w:rPr>
  </w:style>
  <w:style w:type="character" w:styleId="PageNumber">
    <w:name w:val="page number"/>
    <w:basedOn w:val="DefaultParagraphFont"/>
    <w:uiPriority w:val="99"/>
    <w:semiHidden/>
    <w:unhideWhenUsed/>
    <w:rsid w:val="00AB2819"/>
  </w:style>
  <w:style w:type="character" w:styleId="UnresolvedMention">
    <w:name w:val="Unresolved Mention"/>
    <w:basedOn w:val="DefaultParagraphFont"/>
    <w:uiPriority w:val="99"/>
    <w:semiHidden/>
    <w:unhideWhenUsed/>
    <w:rsid w:val="0056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3694">
      <w:bodyDiv w:val="1"/>
      <w:marLeft w:val="0"/>
      <w:marRight w:val="0"/>
      <w:marTop w:val="0"/>
      <w:marBottom w:val="0"/>
      <w:divBdr>
        <w:top w:val="none" w:sz="0" w:space="0" w:color="auto"/>
        <w:left w:val="none" w:sz="0" w:space="0" w:color="auto"/>
        <w:bottom w:val="none" w:sz="0" w:space="0" w:color="auto"/>
        <w:right w:val="none" w:sz="0" w:space="0" w:color="auto"/>
      </w:divBdr>
    </w:div>
    <w:div w:id="213541022">
      <w:bodyDiv w:val="1"/>
      <w:marLeft w:val="0"/>
      <w:marRight w:val="0"/>
      <w:marTop w:val="0"/>
      <w:marBottom w:val="0"/>
      <w:divBdr>
        <w:top w:val="none" w:sz="0" w:space="0" w:color="auto"/>
        <w:left w:val="none" w:sz="0" w:space="0" w:color="auto"/>
        <w:bottom w:val="none" w:sz="0" w:space="0" w:color="auto"/>
        <w:right w:val="none" w:sz="0" w:space="0" w:color="auto"/>
      </w:divBdr>
    </w:div>
    <w:div w:id="1002969662">
      <w:bodyDiv w:val="1"/>
      <w:marLeft w:val="0"/>
      <w:marRight w:val="0"/>
      <w:marTop w:val="0"/>
      <w:marBottom w:val="0"/>
      <w:divBdr>
        <w:top w:val="none" w:sz="0" w:space="0" w:color="auto"/>
        <w:left w:val="none" w:sz="0" w:space="0" w:color="auto"/>
        <w:bottom w:val="none" w:sz="0" w:space="0" w:color="auto"/>
        <w:right w:val="none" w:sz="0" w:space="0" w:color="auto"/>
      </w:divBdr>
    </w:div>
    <w:div w:id="1052996329">
      <w:bodyDiv w:val="1"/>
      <w:marLeft w:val="0"/>
      <w:marRight w:val="0"/>
      <w:marTop w:val="0"/>
      <w:marBottom w:val="0"/>
      <w:divBdr>
        <w:top w:val="none" w:sz="0" w:space="0" w:color="auto"/>
        <w:left w:val="none" w:sz="0" w:space="0" w:color="auto"/>
        <w:bottom w:val="none" w:sz="0" w:space="0" w:color="auto"/>
        <w:right w:val="none" w:sz="0" w:space="0" w:color="auto"/>
      </w:divBdr>
    </w:div>
    <w:div w:id="165753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lb.edu/academic-senate/policy-statement-12-03-final-course-grades-grading-procedures-and-final-assess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sulb.edu/academic-senate/policy-statement-14-15-faculty-office-hou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lb.edu/academic-senate/policy-statement-11-07-syllabi-and-standard-course-outline-course-superseded-ps-0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lb.edu/academic-senate/20-01-policy-online-and-hybrid-instru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77B1B35F64C4C9D17707D7D141285" ma:contentTypeVersion="10" ma:contentTypeDescription="Create a new document." ma:contentTypeScope="" ma:versionID="bc23904c4ec7963eaa68e5f667ac17f6">
  <xsd:schema xmlns:xsd="http://www.w3.org/2001/XMLSchema" xmlns:xs="http://www.w3.org/2001/XMLSchema" xmlns:p="http://schemas.microsoft.com/office/2006/metadata/properties" xmlns:ns2="ebb0a985-d4b9-4660-9ecb-35114de12bf0" xmlns:ns3="30169f04-56b0-4817-8627-0b3918aa700b" targetNamespace="http://schemas.microsoft.com/office/2006/metadata/properties" ma:root="true" ma:fieldsID="35d19e1e8419bd015e3cd05450da308a" ns2:_="" ns3:_="">
    <xsd:import namespace="ebb0a985-d4b9-4660-9ecb-35114de12bf0"/>
    <xsd:import namespace="30169f04-56b0-4817-8627-0b3918aa70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0a985-d4b9-4660-9ecb-35114de12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69f04-56b0-4817-8627-0b3918aa70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7C3A-7E9B-4C24-B41E-5D217D157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0a985-d4b9-4660-9ecb-35114de12bf0"/>
    <ds:schemaRef ds:uri="30169f04-56b0-4817-8627-0b3918aa7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86CEE-CE87-40C5-87E8-608B5FDDD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85062F-2341-4991-907B-DD6786835BDC}">
  <ds:schemaRefs>
    <ds:schemaRef ds:uri="http://schemas.microsoft.com/sharepoint/v3/contenttype/forms"/>
  </ds:schemaRefs>
</ds:datastoreItem>
</file>

<file path=customXml/itemProps4.xml><?xml version="1.0" encoding="utf-8"?>
<ds:datastoreItem xmlns:ds="http://schemas.openxmlformats.org/officeDocument/2006/customXml" ds:itemID="{CD593641-D42B-F844-89DF-9F371E0C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769</Words>
  <Characters>4389</Characters>
  <Application>Microsoft Office Word</Application>
  <DocSecurity>0</DocSecurity>
  <Lines>36</Lines>
  <Paragraphs>10</Paragraphs>
  <ScaleCrop>false</ScaleCrop>
  <Company>California State University, Long Beach</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Somone Washington</dc:creator>
  <cp:keywords/>
  <dc:description/>
  <cp:lastModifiedBy>Laura Portnoi</cp:lastModifiedBy>
  <cp:revision>11</cp:revision>
  <cp:lastPrinted>2019-08-06T23:19:00Z</cp:lastPrinted>
  <dcterms:created xsi:type="dcterms:W3CDTF">2021-08-21T00:18:00Z</dcterms:created>
  <dcterms:modified xsi:type="dcterms:W3CDTF">2022-08-22T17:23:00Z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0x0101002AC77B1B35F64C4C9D17707D7D141285</vt:lpwstr>
  </property>
</Properties>
</file>