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55" w:val="left" w:leader="none"/>
        </w:tabs>
        <w:spacing w:line="247" w:lineRule="auto" w:before="63"/>
        <w:ind w:left="9029" w:right="265" w:hanging="8475"/>
        <w:jc w:val="right"/>
        <w:rPr>
          <w:rFonts w:ascii="Arial"/>
          <w:b/>
          <w:sz w:val="23"/>
        </w:rPr>
      </w:pPr>
      <w:bookmarkStart w:name="California State University, Long Beach " w:id="1"/>
      <w:bookmarkEnd w:id="1"/>
      <w:r>
        <w:rPr/>
      </w:r>
      <w:r>
        <w:rPr>
          <w:rFonts w:ascii="Arial"/>
          <w:b/>
          <w:color w:val="201E1F"/>
          <w:sz w:val="23"/>
        </w:rPr>
        <w:t>California State University, Long Beach</w:t>
        <w:tab/>
        <w:t>Policy</w:t>
      </w:r>
      <w:r>
        <w:rPr>
          <w:rFonts w:ascii="Arial"/>
          <w:b/>
          <w:color w:val="201E1F"/>
          <w:spacing w:val="-16"/>
          <w:sz w:val="23"/>
        </w:rPr>
        <w:t> </w:t>
      </w:r>
      <w:r>
        <w:rPr>
          <w:rFonts w:ascii="Arial"/>
          <w:b/>
          <w:color w:val="201E1F"/>
          <w:sz w:val="23"/>
        </w:rPr>
        <w:t>Statement 22-</w:t>
      </w:r>
      <w:r>
        <w:rPr>
          <w:rFonts w:ascii="Arial"/>
          <w:b/>
          <w:color w:val="201E1F"/>
          <w:spacing w:val="-10"/>
          <w:sz w:val="23"/>
        </w:rPr>
        <w:t>28</w:t>
      </w:r>
    </w:p>
    <w:p>
      <w:pPr>
        <w:spacing w:before="9"/>
        <w:ind w:left="0" w:right="250" w:firstLine="0"/>
        <w:jc w:val="right"/>
        <w:rPr>
          <w:rFonts w:ascii="Arial"/>
          <w:sz w:val="20"/>
        </w:rPr>
      </w:pPr>
      <w:r>
        <w:rPr>
          <w:rFonts w:ascii="Arial"/>
          <w:color w:val="201E1F"/>
          <w:sz w:val="20"/>
        </w:rPr>
        <w:t>December</w:t>
      </w:r>
      <w:r>
        <w:rPr>
          <w:rFonts w:ascii="Arial"/>
          <w:color w:val="201E1F"/>
          <w:spacing w:val="-8"/>
          <w:sz w:val="20"/>
        </w:rPr>
        <w:t> </w:t>
      </w:r>
      <w:r>
        <w:rPr>
          <w:rFonts w:ascii="Arial"/>
          <w:color w:val="201E1F"/>
          <w:sz w:val="20"/>
        </w:rPr>
        <w:t>1,</w:t>
      </w:r>
      <w:r>
        <w:rPr>
          <w:rFonts w:ascii="Arial"/>
          <w:color w:val="201E1F"/>
          <w:spacing w:val="-3"/>
          <w:sz w:val="20"/>
        </w:rPr>
        <w:t> </w:t>
      </w:r>
      <w:r>
        <w:rPr>
          <w:rFonts w:ascii="Arial"/>
          <w:color w:val="201E1F"/>
          <w:spacing w:val="-4"/>
          <w:sz w:val="20"/>
        </w:rPr>
        <w:t>2022</w:t>
      </w:r>
    </w:p>
    <w:p>
      <w:pPr>
        <w:pStyle w:val="BodyText"/>
        <w:spacing w:before="3"/>
        <w:rPr>
          <w:rFonts w:ascii="Arial"/>
          <w:sz w:val="13"/>
        </w:rPr>
      </w:pPr>
      <w:r>
        <w:rPr/>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w:r>
    </w:p>
    <w:p>
      <w:pPr>
        <w:pStyle w:val="BodyText"/>
        <w:spacing w:before="5"/>
        <w:rPr>
          <w:rFonts w:ascii="Arial"/>
          <w:sz w:val="20"/>
        </w:rPr>
      </w:pPr>
    </w:p>
    <w:p>
      <w:pPr>
        <w:spacing w:before="0"/>
        <w:ind w:left="485" w:right="505" w:firstLine="0"/>
        <w:jc w:val="center"/>
        <w:rPr>
          <w:rFonts w:ascii="Arial"/>
          <w:b/>
          <w:sz w:val="23"/>
        </w:rPr>
      </w:pPr>
      <w:r>
        <w:rPr>
          <w:rFonts w:ascii="Arial"/>
          <w:b/>
          <w:color w:val="201E1F"/>
          <w:sz w:val="23"/>
        </w:rPr>
        <w:t>Voluntary</w:t>
      </w:r>
      <w:r>
        <w:rPr>
          <w:rFonts w:ascii="Arial"/>
          <w:b/>
          <w:color w:val="201E1F"/>
          <w:spacing w:val="39"/>
          <w:sz w:val="23"/>
        </w:rPr>
        <w:t> </w:t>
      </w:r>
      <w:r>
        <w:rPr>
          <w:rFonts w:ascii="Arial"/>
          <w:b/>
          <w:color w:val="201E1F"/>
          <w:sz w:val="23"/>
        </w:rPr>
        <w:t>Reassignment</w:t>
      </w:r>
      <w:r>
        <w:rPr>
          <w:rFonts w:ascii="Arial"/>
          <w:b/>
          <w:color w:val="201E1F"/>
          <w:spacing w:val="43"/>
          <w:sz w:val="23"/>
        </w:rPr>
        <w:t> </w:t>
      </w:r>
      <w:r>
        <w:rPr>
          <w:rFonts w:ascii="Arial"/>
          <w:b/>
          <w:color w:val="201E1F"/>
          <w:sz w:val="23"/>
        </w:rPr>
        <w:t>of</w:t>
      </w:r>
      <w:r>
        <w:rPr>
          <w:rFonts w:ascii="Arial"/>
          <w:b/>
          <w:color w:val="201E1F"/>
          <w:spacing w:val="43"/>
          <w:sz w:val="23"/>
        </w:rPr>
        <w:t> </w:t>
      </w:r>
      <w:r>
        <w:rPr>
          <w:rFonts w:ascii="Arial"/>
          <w:b/>
          <w:color w:val="201E1F"/>
          <w:sz w:val="23"/>
        </w:rPr>
        <w:t>Tenured</w:t>
      </w:r>
      <w:r>
        <w:rPr>
          <w:rFonts w:ascii="Arial"/>
          <w:b/>
          <w:color w:val="201E1F"/>
          <w:spacing w:val="34"/>
          <w:sz w:val="23"/>
        </w:rPr>
        <w:t> </w:t>
      </w:r>
      <w:r>
        <w:rPr>
          <w:rFonts w:ascii="Arial"/>
          <w:b/>
          <w:color w:val="201E1F"/>
          <w:sz w:val="23"/>
        </w:rPr>
        <w:t>/</w:t>
      </w:r>
      <w:r>
        <w:rPr>
          <w:rFonts w:ascii="Arial"/>
          <w:b/>
          <w:color w:val="201E1F"/>
          <w:spacing w:val="40"/>
          <w:sz w:val="23"/>
        </w:rPr>
        <w:t> </w:t>
      </w:r>
      <w:r>
        <w:rPr>
          <w:rFonts w:ascii="Arial"/>
          <w:b/>
          <w:color w:val="201E1F"/>
          <w:sz w:val="23"/>
        </w:rPr>
        <w:t>Tenure-Track</w:t>
      </w:r>
      <w:r>
        <w:rPr>
          <w:rFonts w:ascii="Arial"/>
          <w:b/>
          <w:color w:val="201E1F"/>
          <w:spacing w:val="42"/>
          <w:sz w:val="23"/>
        </w:rPr>
        <w:t> </w:t>
      </w:r>
      <w:r>
        <w:rPr>
          <w:rFonts w:ascii="Arial"/>
          <w:b/>
          <w:color w:val="201E1F"/>
          <w:sz w:val="23"/>
        </w:rPr>
        <w:t>Faculty</w:t>
      </w:r>
      <w:r>
        <w:rPr>
          <w:rFonts w:ascii="Arial"/>
          <w:b/>
          <w:color w:val="201E1F"/>
          <w:spacing w:val="42"/>
          <w:sz w:val="23"/>
        </w:rPr>
        <w:t> </w:t>
      </w:r>
      <w:r>
        <w:rPr>
          <w:rFonts w:ascii="Arial"/>
          <w:b/>
          <w:color w:val="201E1F"/>
          <w:spacing w:val="-2"/>
          <w:sz w:val="23"/>
        </w:rPr>
        <w:t>Members</w:t>
      </w:r>
    </w:p>
    <w:p>
      <w:pPr>
        <w:pStyle w:val="BodyText"/>
        <w:spacing w:before="1"/>
        <w:rPr>
          <w:rFonts w:ascii="Arial"/>
          <w:b/>
          <w:sz w:val="24"/>
        </w:rPr>
      </w:pPr>
    </w:p>
    <w:p>
      <w:pPr>
        <w:spacing w:line="232" w:lineRule="auto" w:before="0"/>
        <w:ind w:left="506" w:right="505" w:firstLine="0"/>
        <w:jc w:val="center"/>
        <w:rPr>
          <w:rFonts w:ascii="Arial"/>
          <w:sz w:val="18"/>
        </w:rPr>
      </w:pPr>
      <w:r>
        <w:rPr>
          <w:rFonts w:ascii="Arial"/>
          <w:color w:val="201E1F"/>
          <w:sz w:val="18"/>
        </w:rPr>
        <w:t>(This revision</w:t>
      </w:r>
      <w:r>
        <w:rPr>
          <w:rFonts w:ascii="Arial"/>
          <w:color w:val="201E1F"/>
          <w:spacing w:val="-2"/>
          <w:sz w:val="18"/>
        </w:rPr>
        <w:t> </w:t>
      </w:r>
      <w:r>
        <w:rPr>
          <w:rFonts w:ascii="Arial"/>
          <w:color w:val="201E1F"/>
          <w:sz w:val="18"/>
        </w:rPr>
        <w:t>to</w:t>
      </w:r>
      <w:r>
        <w:rPr>
          <w:rFonts w:ascii="Arial"/>
          <w:color w:val="201E1F"/>
          <w:spacing w:val="-2"/>
          <w:sz w:val="18"/>
        </w:rPr>
        <w:t> </w:t>
      </w:r>
      <w:r>
        <w:rPr>
          <w:rFonts w:ascii="Arial"/>
          <w:color w:val="201E1F"/>
          <w:sz w:val="18"/>
        </w:rPr>
        <w:t>PS</w:t>
      </w:r>
      <w:r>
        <w:rPr>
          <w:rFonts w:ascii="Arial"/>
          <w:color w:val="201E1F"/>
          <w:spacing w:val="-1"/>
          <w:sz w:val="18"/>
        </w:rPr>
        <w:t> </w:t>
      </w:r>
      <w:r>
        <w:rPr>
          <w:rFonts w:ascii="Arial"/>
          <w:color w:val="201E1F"/>
          <w:sz w:val="18"/>
        </w:rPr>
        <w:t>96-09</w:t>
      </w:r>
      <w:r>
        <w:rPr>
          <w:rFonts w:ascii="Arial"/>
          <w:color w:val="201E1F"/>
          <w:spacing w:val="-2"/>
          <w:sz w:val="18"/>
        </w:rPr>
        <w:t> </w:t>
      </w:r>
      <w:r>
        <w:rPr>
          <w:rFonts w:ascii="Arial"/>
          <w:color w:val="201E1F"/>
          <w:sz w:val="18"/>
        </w:rPr>
        <w:t>was</w:t>
      </w:r>
      <w:r>
        <w:rPr>
          <w:rFonts w:ascii="Arial"/>
          <w:color w:val="201E1F"/>
          <w:spacing w:val="-1"/>
          <w:sz w:val="18"/>
        </w:rPr>
        <w:t> </w:t>
      </w:r>
      <w:r>
        <w:rPr>
          <w:rFonts w:ascii="Arial"/>
          <w:color w:val="201E1F"/>
          <w:sz w:val="18"/>
        </w:rPr>
        <w:t>approved</w:t>
      </w:r>
      <w:r>
        <w:rPr>
          <w:rFonts w:ascii="Arial"/>
          <w:color w:val="201E1F"/>
          <w:spacing w:val="-2"/>
          <w:sz w:val="18"/>
        </w:rPr>
        <w:t> </w:t>
      </w:r>
      <w:r>
        <w:rPr>
          <w:rFonts w:ascii="Arial"/>
          <w:color w:val="201E1F"/>
          <w:sz w:val="18"/>
        </w:rPr>
        <w:t>by the</w:t>
      </w:r>
      <w:r>
        <w:rPr>
          <w:rFonts w:ascii="Arial"/>
          <w:color w:val="201E1F"/>
          <w:spacing w:val="-2"/>
          <w:sz w:val="18"/>
        </w:rPr>
        <w:t> </w:t>
      </w:r>
      <w:r>
        <w:rPr>
          <w:rFonts w:ascii="Arial"/>
          <w:color w:val="201E1F"/>
          <w:sz w:val="18"/>
        </w:rPr>
        <w:t>Academic</w:t>
      </w:r>
      <w:r>
        <w:rPr>
          <w:rFonts w:ascii="Arial"/>
          <w:color w:val="201E1F"/>
          <w:spacing w:val="-7"/>
          <w:sz w:val="18"/>
        </w:rPr>
        <w:t> </w:t>
      </w:r>
      <w:r>
        <w:rPr>
          <w:rFonts w:ascii="Arial"/>
          <w:color w:val="201E1F"/>
          <w:sz w:val="18"/>
        </w:rPr>
        <w:t>Senate</w:t>
      </w:r>
      <w:r>
        <w:rPr>
          <w:rFonts w:ascii="Arial"/>
          <w:color w:val="201E1F"/>
          <w:spacing w:val="-2"/>
          <w:sz w:val="18"/>
        </w:rPr>
        <w:t> </w:t>
      </w:r>
      <w:r>
        <w:rPr>
          <w:rFonts w:ascii="Arial"/>
          <w:color w:val="201E1F"/>
          <w:sz w:val="18"/>
        </w:rPr>
        <w:t>on</w:t>
      </w:r>
      <w:r>
        <w:rPr>
          <w:rFonts w:ascii="Arial"/>
          <w:color w:val="201E1F"/>
          <w:spacing w:val="-2"/>
          <w:sz w:val="18"/>
        </w:rPr>
        <w:t> </w:t>
      </w:r>
      <w:r>
        <w:rPr>
          <w:rFonts w:ascii="Arial"/>
          <w:color w:val="201E1F"/>
          <w:sz w:val="18"/>
        </w:rPr>
        <w:t>November</w:t>
      </w:r>
      <w:r>
        <w:rPr>
          <w:rFonts w:ascii="Arial"/>
          <w:color w:val="201E1F"/>
          <w:spacing w:val="-5"/>
          <w:sz w:val="18"/>
        </w:rPr>
        <w:t> </w:t>
      </w:r>
      <w:r>
        <w:rPr>
          <w:rFonts w:ascii="Arial"/>
          <w:color w:val="201E1F"/>
          <w:sz w:val="18"/>
        </w:rPr>
        <w:t>17,</w:t>
      </w:r>
      <w:r>
        <w:rPr>
          <w:rFonts w:ascii="Arial"/>
          <w:color w:val="201E1F"/>
          <w:spacing w:val="-3"/>
          <w:sz w:val="18"/>
        </w:rPr>
        <w:t> </w:t>
      </w:r>
      <w:r>
        <w:rPr>
          <w:rFonts w:ascii="Arial"/>
          <w:color w:val="201E1F"/>
          <w:sz w:val="18"/>
        </w:rPr>
        <w:t>2022,</w:t>
      </w:r>
      <w:r>
        <w:rPr>
          <w:rFonts w:ascii="Arial"/>
          <w:color w:val="201E1F"/>
          <w:spacing w:val="-3"/>
          <w:sz w:val="18"/>
        </w:rPr>
        <w:t> </w:t>
      </w:r>
      <w:r>
        <w:rPr>
          <w:rFonts w:ascii="Arial"/>
          <w:color w:val="201E1F"/>
          <w:sz w:val="18"/>
        </w:rPr>
        <w:t>and</w:t>
      </w:r>
      <w:r>
        <w:rPr>
          <w:rFonts w:ascii="Arial"/>
          <w:color w:val="201E1F"/>
          <w:spacing w:val="-2"/>
          <w:sz w:val="18"/>
        </w:rPr>
        <w:t> </w:t>
      </w:r>
      <w:r>
        <w:rPr>
          <w:rFonts w:ascii="Arial"/>
          <w:color w:val="201E1F"/>
          <w:sz w:val="18"/>
        </w:rPr>
        <w:t>approved</w:t>
      </w:r>
      <w:r>
        <w:rPr>
          <w:rFonts w:ascii="Arial"/>
          <w:color w:val="201E1F"/>
          <w:spacing w:val="-2"/>
          <w:sz w:val="18"/>
        </w:rPr>
        <w:t> </w:t>
      </w:r>
      <w:r>
        <w:rPr>
          <w:rFonts w:ascii="Arial"/>
          <w:color w:val="201E1F"/>
          <w:sz w:val="18"/>
        </w:rPr>
        <w:t>by the President on November 28, 2022.)</w:t>
      </w:r>
    </w:p>
    <w:p>
      <w:pPr>
        <w:pStyle w:val="BodyText"/>
        <w:rPr>
          <w:rFonts w:ascii="Arial"/>
          <w:sz w:val="20"/>
        </w:rPr>
      </w:pPr>
    </w:p>
    <w:p>
      <w:pPr>
        <w:pStyle w:val="BodyText"/>
        <w:spacing w:before="1"/>
        <w:rPr>
          <w:rFonts w:ascii="Arial"/>
          <w:sz w:val="28"/>
        </w:rPr>
      </w:pPr>
    </w:p>
    <w:p>
      <w:pPr>
        <w:pStyle w:val="BodyText"/>
        <w:spacing w:before="1"/>
        <w:ind w:left="137" w:right="179"/>
      </w:pPr>
      <w:r>
        <w:rPr/>
        <w:t>This policy’s scope is limited to tenured / tenure-track faculty-initiated, voluntary reassignment</w:t>
      </w:r>
      <w:r>
        <w:rPr>
          <w:spacing w:val="-2"/>
        </w:rPr>
        <w:t> </w:t>
      </w:r>
      <w:r>
        <w:rPr/>
        <w:t>to</w:t>
      </w:r>
      <w:r>
        <w:rPr>
          <w:spacing w:val="-6"/>
        </w:rPr>
        <w:t> </w:t>
      </w:r>
      <w:r>
        <w:rPr/>
        <w:t>a</w:t>
      </w:r>
      <w:r>
        <w:rPr>
          <w:spacing w:val="-2"/>
        </w:rPr>
        <w:t> </w:t>
      </w:r>
      <w:r>
        <w:rPr/>
        <w:t>new</w:t>
      </w:r>
      <w:r>
        <w:rPr>
          <w:spacing w:val="-3"/>
        </w:rPr>
        <w:t> </w:t>
      </w:r>
      <w:r>
        <w:rPr/>
        <w:t>department,</w:t>
      </w:r>
      <w:r>
        <w:rPr>
          <w:spacing w:val="-8"/>
        </w:rPr>
        <w:t> </w:t>
      </w:r>
      <w:r>
        <w:rPr/>
        <w:t>program,</w:t>
      </w:r>
      <w:r>
        <w:rPr>
          <w:spacing w:val="-1"/>
        </w:rPr>
        <w:t> </w:t>
      </w:r>
      <w:r>
        <w:rPr/>
        <w:t>or</w:t>
      </w:r>
      <w:r>
        <w:rPr>
          <w:spacing w:val="-5"/>
        </w:rPr>
        <w:t> </w:t>
      </w:r>
      <w:r>
        <w:rPr/>
        <w:t>other</w:t>
      </w:r>
      <w:r>
        <w:rPr>
          <w:spacing w:val="-5"/>
        </w:rPr>
        <w:t> </w:t>
      </w:r>
      <w:r>
        <w:rPr/>
        <w:t>academic</w:t>
      </w:r>
      <w:r>
        <w:rPr>
          <w:spacing w:val="-2"/>
        </w:rPr>
        <w:t> </w:t>
      </w:r>
      <w:r>
        <w:rPr/>
        <w:t>unit.</w:t>
      </w:r>
      <w:r>
        <w:rPr>
          <w:spacing w:val="-8"/>
        </w:rPr>
        <w:t> </w:t>
      </w:r>
      <w:r>
        <w:rPr/>
        <w:t>Any</w:t>
      </w:r>
      <w:r>
        <w:rPr>
          <w:spacing w:val="-2"/>
        </w:rPr>
        <w:t> </w:t>
      </w:r>
      <w:r>
        <w:rPr/>
        <w:t>faculty</w:t>
      </w:r>
      <w:r>
        <w:rPr>
          <w:spacing w:val="-2"/>
        </w:rPr>
        <w:t> </w:t>
      </w:r>
      <w:r>
        <w:rPr/>
        <w:t>member who</w:t>
      </w:r>
      <w:r>
        <w:rPr>
          <w:spacing w:val="-3"/>
        </w:rPr>
        <w:t> </w:t>
      </w:r>
      <w:r>
        <w:rPr/>
        <w:t>has not received</w:t>
      </w:r>
      <w:r>
        <w:rPr>
          <w:spacing w:val="-2"/>
        </w:rPr>
        <w:t> </w:t>
      </w:r>
      <w:r>
        <w:rPr/>
        <w:t>a notice</w:t>
      </w:r>
      <w:r>
        <w:rPr>
          <w:spacing w:val="-2"/>
        </w:rPr>
        <w:t> </w:t>
      </w:r>
      <w:r>
        <w:rPr/>
        <w:t>of layoff</w:t>
      </w:r>
      <w:r>
        <w:rPr>
          <w:spacing w:val="-4"/>
        </w:rPr>
        <w:t> </w:t>
      </w:r>
      <w:r>
        <w:rPr/>
        <w:t>may</w:t>
      </w:r>
      <w:r>
        <w:rPr>
          <w:spacing w:val="-5"/>
        </w:rPr>
        <w:t> </w:t>
      </w:r>
      <w:r>
        <w:rPr/>
        <w:t>apply for</w:t>
      </w:r>
      <w:r>
        <w:rPr>
          <w:spacing w:val="-1"/>
        </w:rPr>
        <w:t> </w:t>
      </w:r>
      <w:r>
        <w:rPr/>
        <w:t>permanent reassignment to</w:t>
      </w:r>
      <w:r>
        <w:rPr>
          <w:spacing w:val="-3"/>
        </w:rPr>
        <w:t> </w:t>
      </w:r>
      <w:r>
        <w:rPr/>
        <w:t>another department or college. A vacant faculty position is not required in order to apply for this reassignment. In such cases, the following procedures shall be followed:</w:t>
      </w:r>
    </w:p>
    <w:p>
      <w:pPr>
        <w:pStyle w:val="BodyText"/>
        <w:rPr>
          <w:sz w:val="26"/>
        </w:rPr>
      </w:pPr>
    </w:p>
    <w:p>
      <w:pPr>
        <w:pStyle w:val="ListParagraph"/>
        <w:numPr>
          <w:ilvl w:val="0"/>
          <w:numId w:val="1"/>
        </w:numPr>
        <w:tabs>
          <w:tab w:pos="448" w:val="left" w:leader="none"/>
        </w:tabs>
        <w:spacing w:line="240" w:lineRule="auto" w:before="0" w:after="0"/>
        <w:ind w:left="137" w:right="283" w:firstLine="0"/>
        <w:jc w:val="left"/>
        <w:rPr>
          <w:sz w:val="25"/>
        </w:rPr>
      </w:pPr>
      <w:r>
        <w:rPr>
          <w:sz w:val="25"/>
        </w:rPr>
        <w:t>The faculty member requesting the reassignment shall send a letter to the dean(s) of the affected college(s). The letter shall contain a description of the individual's academic qualifications for such a reassignment along with</w:t>
      </w:r>
      <w:r>
        <w:rPr>
          <w:spacing w:val="-1"/>
          <w:sz w:val="25"/>
        </w:rPr>
        <w:t> </w:t>
      </w:r>
      <w:r>
        <w:rPr>
          <w:sz w:val="25"/>
        </w:rPr>
        <w:t>a statement detailing the role of the prospective appointee in the educational and professional program to which they will be assigned</w:t>
      </w:r>
      <w:r>
        <w:rPr>
          <w:spacing w:val="-3"/>
          <w:sz w:val="25"/>
        </w:rPr>
        <w:t> </w:t>
      </w:r>
      <w:r>
        <w:rPr>
          <w:sz w:val="25"/>
        </w:rPr>
        <w:t>and</w:t>
      </w:r>
      <w:r>
        <w:rPr>
          <w:spacing w:val="-3"/>
          <w:sz w:val="25"/>
        </w:rPr>
        <w:t> </w:t>
      </w:r>
      <w:r>
        <w:rPr>
          <w:sz w:val="25"/>
        </w:rPr>
        <w:t>outlining their</w:t>
      </w:r>
      <w:r>
        <w:rPr>
          <w:spacing w:val="-2"/>
          <w:sz w:val="25"/>
        </w:rPr>
        <w:t> </w:t>
      </w:r>
      <w:r>
        <w:rPr>
          <w:sz w:val="25"/>
        </w:rPr>
        <w:t>commitment to</w:t>
      </w:r>
      <w:r>
        <w:rPr>
          <w:spacing w:val="-4"/>
          <w:sz w:val="25"/>
        </w:rPr>
        <w:t> </w:t>
      </w:r>
      <w:r>
        <w:rPr>
          <w:sz w:val="25"/>
        </w:rPr>
        <w:t>working</w:t>
      </w:r>
      <w:r>
        <w:rPr>
          <w:spacing w:val="-4"/>
          <w:sz w:val="25"/>
        </w:rPr>
        <w:t> </w:t>
      </w:r>
      <w:r>
        <w:rPr>
          <w:sz w:val="25"/>
        </w:rPr>
        <w:t>with</w:t>
      </w:r>
      <w:r>
        <w:rPr>
          <w:spacing w:val="-3"/>
          <w:sz w:val="25"/>
        </w:rPr>
        <w:t> </w:t>
      </w:r>
      <w:r>
        <w:rPr>
          <w:sz w:val="25"/>
        </w:rPr>
        <w:t>diverse</w:t>
      </w:r>
      <w:r>
        <w:rPr>
          <w:spacing w:val="-11"/>
          <w:sz w:val="25"/>
        </w:rPr>
        <w:t> </w:t>
      </w:r>
      <w:r>
        <w:rPr>
          <w:sz w:val="25"/>
        </w:rPr>
        <w:t>students, faculty, and</w:t>
      </w:r>
      <w:r>
        <w:rPr>
          <w:spacing w:val="-11"/>
          <w:sz w:val="25"/>
        </w:rPr>
        <w:t> </w:t>
      </w:r>
      <w:r>
        <w:rPr>
          <w:sz w:val="25"/>
        </w:rPr>
        <w:t>staff. The</w:t>
      </w:r>
      <w:r>
        <w:rPr>
          <w:spacing w:val="-1"/>
          <w:sz w:val="25"/>
        </w:rPr>
        <w:t> </w:t>
      </w:r>
      <w:r>
        <w:rPr>
          <w:sz w:val="25"/>
        </w:rPr>
        <w:t>dean(s) shall</w:t>
      </w:r>
      <w:r>
        <w:rPr>
          <w:spacing w:val="-6"/>
          <w:sz w:val="25"/>
        </w:rPr>
        <w:t> </w:t>
      </w:r>
      <w:r>
        <w:rPr>
          <w:sz w:val="25"/>
        </w:rPr>
        <w:t>forward</w:t>
      </w:r>
      <w:r>
        <w:rPr>
          <w:spacing w:val="-1"/>
          <w:sz w:val="25"/>
        </w:rPr>
        <w:t> </w:t>
      </w:r>
      <w:r>
        <w:rPr>
          <w:sz w:val="25"/>
        </w:rPr>
        <w:t>this statement</w:t>
      </w:r>
      <w:r>
        <w:rPr>
          <w:spacing w:val="-4"/>
          <w:sz w:val="25"/>
        </w:rPr>
        <w:t> </w:t>
      </w:r>
      <w:r>
        <w:rPr>
          <w:sz w:val="25"/>
        </w:rPr>
        <w:t>and</w:t>
      </w:r>
      <w:r>
        <w:rPr>
          <w:spacing w:val="-1"/>
          <w:sz w:val="25"/>
        </w:rPr>
        <w:t> </w:t>
      </w:r>
      <w:r>
        <w:rPr>
          <w:sz w:val="25"/>
        </w:rPr>
        <w:t>the</w:t>
      </w:r>
      <w:r>
        <w:rPr>
          <w:spacing w:val="-1"/>
          <w:sz w:val="25"/>
        </w:rPr>
        <w:t> </w:t>
      </w:r>
      <w:r>
        <w:rPr>
          <w:sz w:val="25"/>
        </w:rPr>
        <w:t>applicant’s letter</w:t>
      </w:r>
      <w:r>
        <w:rPr>
          <w:spacing w:val="-7"/>
          <w:sz w:val="25"/>
        </w:rPr>
        <w:t> </w:t>
      </w:r>
      <w:r>
        <w:rPr>
          <w:sz w:val="25"/>
        </w:rPr>
        <w:t>to</w:t>
      </w:r>
      <w:r>
        <w:rPr>
          <w:spacing w:val="-2"/>
          <w:sz w:val="25"/>
        </w:rPr>
        <w:t> </w:t>
      </w:r>
      <w:r>
        <w:rPr>
          <w:sz w:val="25"/>
        </w:rPr>
        <w:t>the</w:t>
      </w:r>
      <w:r>
        <w:rPr>
          <w:spacing w:val="-1"/>
          <w:sz w:val="25"/>
        </w:rPr>
        <w:t> </w:t>
      </w:r>
      <w:r>
        <w:rPr>
          <w:sz w:val="25"/>
        </w:rPr>
        <w:t>pertinent academic unit chairs/directors.</w:t>
      </w:r>
    </w:p>
    <w:p>
      <w:pPr>
        <w:pStyle w:val="BodyText"/>
        <w:spacing w:before="1"/>
        <w:rPr>
          <w:sz w:val="26"/>
        </w:rPr>
      </w:pPr>
    </w:p>
    <w:p>
      <w:pPr>
        <w:pStyle w:val="ListParagraph"/>
        <w:numPr>
          <w:ilvl w:val="0"/>
          <w:numId w:val="1"/>
        </w:numPr>
        <w:tabs>
          <w:tab w:pos="447" w:val="left" w:leader="none"/>
        </w:tabs>
        <w:spacing w:line="240" w:lineRule="auto" w:before="1" w:after="0"/>
        <w:ind w:left="137" w:right="186" w:firstLine="0"/>
        <w:jc w:val="left"/>
        <w:rPr>
          <w:sz w:val="25"/>
        </w:rPr>
      </w:pPr>
      <w:r>
        <w:rPr>
          <w:sz w:val="25"/>
        </w:rPr>
        <w:t>The</w:t>
      </w:r>
      <w:r>
        <w:rPr>
          <w:spacing w:val="-2"/>
          <w:sz w:val="25"/>
        </w:rPr>
        <w:t> </w:t>
      </w:r>
      <w:r>
        <w:rPr>
          <w:sz w:val="25"/>
        </w:rPr>
        <w:t>dean(s) of the</w:t>
      </w:r>
      <w:r>
        <w:rPr>
          <w:spacing w:val="-2"/>
          <w:sz w:val="25"/>
        </w:rPr>
        <w:t> </w:t>
      </w:r>
      <w:r>
        <w:rPr>
          <w:sz w:val="25"/>
        </w:rPr>
        <w:t>affected</w:t>
      </w:r>
      <w:r>
        <w:rPr>
          <w:spacing w:val="-2"/>
          <w:sz w:val="25"/>
        </w:rPr>
        <w:t> </w:t>
      </w:r>
      <w:r>
        <w:rPr>
          <w:sz w:val="25"/>
        </w:rPr>
        <w:t>college(s) shall consult with</w:t>
      </w:r>
      <w:r>
        <w:rPr>
          <w:spacing w:val="-2"/>
          <w:sz w:val="25"/>
        </w:rPr>
        <w:t> </w:t>
      </w:r>
      <w:r>
        <w:rPr>
          <w:sz w:val="25"/>
        </w:rPr>
        <w:t>the</w:t>
      </w:r>
      <w:r>
        <w:rPr>
          <w:spacing w:val="-2"/>
          <w:sz w:val="25"/>
        </w:rPr>
        <w:t> </w:t>
      </w:r>
      <w:r>
        <w:rPr>
          <w:sz w:val="25"/>
        </w:rPr>
        <w:t>faculty</w:t>
      </w:r>
      <w:r>
        <w:rPr>
          <w:spacing w:val="-5"/>
          <w:sz w:val="25"/>
        </w:rPr>
        <w:t> </w:t>
      </w:r>
      <w:r>
        <w:rPr>
          <w:sz w:val="25"/>
        </w:rPr>
        <w:t>member</w:t>
      </w:r>
      <w:r>
        <w:rPr>
          <w:spacing w:val="-1"/>
          <w:sz w:val="25"/>
        </w:rPr>
        <w:t> </w:t>
      </w:r>
      <w:r>
        <w:rPr>
          <w:sz w:val="25"/>
        </w:rPr>
        <w:t>requesting the reassignment, the respective department chairs or program directors, and the Provost. The dean(s) will</w:t>
      </w:r>
      <w:r>
        <w:rPr>
          <w:spacing w:val="-9"/>
          <w:sz w:val="25"/>
        </w:rPr>
        <w:t> </w:t>
      </w:r>
      <w:r>
        <w:rPr>
          <w:sz w:val="25"/>
        </w:rPr>
        <w:t>make</w:t>
      </w:r>
      <w:r>
        <w:rPr>
          <w:spacing w:val="-12"/>
          <w:sz w:val="25"/>
        </w:rPr>
        <w:t> </w:t>
      </w:r>
      <w:r>
        <w:rPr>
          <w:sz w:val="25"/>
        </w:rPr>
        <w:t>a non-binding recommendation</w:t>
      </w:r>
      <w:r>
        <w:rPr>
          <w:spacing w:val="-4"/>
          <w:sz w:val="25"/>
        </w:rPr>
        <w:t> </w:t>
      </w:r>
      <w:r>
        <w:rPr>
          <w:sz w:val="25"/>
        </w:rPr>
        <w:t>to</w:t>
      </w:r>
      <w:r>
        <w:rPr>
          <w:spacing w:val="-5"/>
          <w:sz w:val="25"/>
        </w:rPr>
        <w:t> </w:t>
      </w:r>
      <w:r>
        <w:rPr>
          <w:sz w:val="25"/>
        </w:rPr>
        <w:t>the</w:t>
      </w:r>
      <w:r>
        <w:rPr>
          <w:spacing w:val="-5"/>
          <w:sz w:val="25"/>
        </w:rPr>
        <w:t> </w:t>
      </w:r>
      <w:r>
        <w:rPr>
          <w:sz w:val="25"/>
        </w:rPr>
        <w:t>requesting faculty within</w:t>
      </w:r>
      <w:r>
        <w:rPr>
          <w:spacing w:val="-12"/>
          <w:sz w:val="25"/>
        </w:rPr>
        <w:t> </w:t>
      </w:r>
      <w:r>
        <w:rPr>
          <w:sz w:val="25"/>
        </w:rPr>
        <w:t>21 calendar </w:t>
      </w:r>
      <w:r>
        <w:rPr>
          <w:spacing w:val="-2"/>
          <w:sz w:val="25"/>
        </w:rPr>
        <w:t>days.</w:t>
      </w:r>
    </w:p>
    <w:p>
      <w:pPr>
        <w:pStyle w:val="BodyText"/>
        <w:spacing w:before="2"/>
        <w:rPr>
          <w:sz w:val="26"/>
        </w:rPr>
      </w:pPr>
    </w:p>
    <w:p>
      <w:pPr>
        <w:pStyle w:val="ListParagraph"/>
        <w:numPr>
          <w:ilvl w:val="0"/>
          <w:numId w:val="1"/>
        </w:numPr>
        <w:tabs>
          <w:tab w:pos="448" w:val="left" w:leader="none"/>
        </w:tabs>
        <w:spacing w:line="240" w:lineRule="auto" w:before="1" w:after="0"/>
        <w:ind w:left="447" w:right="0" w:hanging="311"/>
        <w:jc w:val="left"/>
        <w:rPr>
          <w:sz w:val="25"/>
        </w:rPr>
      </w:pPr>
      <w:r>
        <w:rPr>
          <w:sz w:val="25"/>
        </w:rPr>
        <w:t>The</w:t>
      </w:r>
      <w:r>
        <w:rPr>
          <w:spacing w:val="-11"/>
          <w:sz w:val="25"/>
        </w:rPr>
        <w:t> </w:t>
      </w:r>
      <w:r>
        <w:rPr>
          <w:sz w:val="25"/>
        </w:rPr>
        <w:t>requesting</w:t>
      </w:r>
      <w:r>
        <w:rPr>
          <w:spacing w:val="-4"/>
          <w:sz w:val="25"/>
        </w:rPr>
        <w:t> </w:t>
      </w:r>
      <w:r>
        <w:rPr>
          <w:sz w:val="25"/>
        </w:rPr>
        <w:t>faculty</w:t>
      </w:r>
      <w:r>
        <w:rPr>
          <w:spacing w:val="-11"/>
          <w:sz w:val="25"/>
        </w:rPr>
        <w:t> </w:t>
      </w:r>
      <w:r>
        <w:rPr>
          <w:sz w:val="25"/>
        </w:rPr>
        <w:t>member</w:t>
      </w:r>
      <w:r>
        <w:rPr>
          <w:spacing w:val="-8"/>
          <w:sz w:val="25"/>
        </w:rPr>
        <w:t> </w:t>
      </w:r>
      <w:r>
        <w:rPr>
          <w:sz w:val="25"/>
        </w:rPr>
        <w:t>can</w:t>
      </w:r>
      <w:r>
        <w:rPr>
          <w:spacing w:val="-8"/>
          <w:sz w:val="25"/>
        </w:rPr>
        <w:t> </w:t>
      </w:r>
      <w:r>
        <w:rPr>
          <w:sz w:val="25"/>
        </w:rPr>
        <w:t>withdraw</w:t>
      </w:r>
      <w:r>
        <w:rPr>
          <w:spacing w:val="-6"/>
          <w:sz w:val="25"/>
        </w:rPr>
        <w:t> </w:t>
      </w:r>
      <w:r>
        <w:rPr>
          <w:sz w:val="25"/>
        </w:rPr>
        <w:t>their</w:t>
      </w:r>
      <w:r>
        <w:rPr>
          <w:spacing w:val="-8"/>
          <w:sz w:val="25"/>
        </w:rPr>
        <w:t> </w:t>
      </w:r>
      <w:r>
        <w:rPr>
          <w:sz w:val="25"/>
        </w:rPr>
        <w:t>request</w:t>
      </w:r>
      <w:r>
        <w:rPr>
          <w:spacing w:val="-4"/>
          <w:sz w:val="25"/>
        </w:rPr>
        <w:t> </w:t>
      </w:r>
      <w:r>
        <w:rPr>
          <w:sz w:val="25"/>
        </w:rPr>
        <w:t>at</w:t>
      </w:r>
      <w:r>
        <w:rPr>
          <w:spacing w:val="-12"/>
          <w:sz w:val="25"/>
        </w:rPr>
        <w:t> </w:t>
      </w:r>
      <w:r>
        <w:rPr>
          <w:sz w:val="25"/>
        </w:rPr>
        <w:t>any</w:t>
      </w:r>
      <w:r>
        <w:rPr>
          <w:spacing w:val="-5"/>
          <w:sz w:val="25"/>
        </w:rPr>
        <w:t> </w:t>
      </w:r>
      <w:r>
        <w:rPr>
          <w:sz w:val="25"/>
        </w:rPr>
        <w:t>time</w:t>
      </w:r>
      <w:r>
        <w:rPr>
          <w:spacing w:val="-8"/>
          <w:sz w:val="25"/>
        </w:rPr>
        <w:t> </w:t>
      </w:r>
      <w:r>
        <w:rPr>
          <w:sz w:val="25"/>
        </w:rPr>
        <w:t>during</w:t>
      </w:r>
      <w:r>
        <w:rPr>
          <w:spacing w:val="-4"/>
          <w:sz w:val="25"/>
        </w:rPr>
        <w:t> </w:t>
      </w:r>
      <w:r>
        <w:rPr>
          <w:sz w:val="25"/>
        </w:rPr>
        <w:t>the</w:t>
      </w:r>
      <w:r>
        <w:rPr>
          <w:spacing w:val="-8"/>
          <w:sz w:val="25"/>
        </w:rPr>
        <w:t> </w:t>
      </w:r>
      <w:r>
        <w:rPr>
          <w:spacing w:val="-2"/>
          <w:sz w:val="25"/>
        </w:rPr>
        <w:t>process.</w:t>
      </w:r>
    </w:p>
    <w:p>
      <w:pPr>
        <w:pStyle w:val="BodyText"/>
        <w:spacing w:before="3"/>
        <w:rPr>
          <w:sz w:val="26"/>
        </w:rPr>
      </w:pPr>
    </w:p>
    <w:p>
      <w:pPr>
        <w:pStyle w:val="ListParagraph"/>
        <w:numPr>
          <w:ilvl w:val="0"/>
          <w:numId w:val="1"/>
        </w:numPr>
        <w:tabs>
          <w:tab w:pos="448" w:val="left" w:leader="none"/>
        </w:tabs>
        <w:spacing w:line="240" w:lineRule="auto" w:before="0" w:after="0"/>
        <w:ind w:left="137" w:right="212" w:firstLine="0"/>
        <w:jc w:val="left"/>
        <w:rPr>
          <w:sz w:val="25"/>
        </w:rPr>
      </w:pPr>
      <w:r>
        <w:rPr>
          <w:sz w:val="25"/>
        </w:rPr>
        <w:t>If the</w:t>
      </w:r>
      <w:r>
        <w:rPr>
          <w:spacing w:val="-2"/>
          <w:sz w:val="25"/>
        </w:rPr>
        <w:t> </w:t>
      </w:r>
      <w:r>
        <w:rPr>
          <w:sz w:val="25"/>
        </w:rPr>
        <w:t>process continues,</w:t>
      </w:r>
      <w:r>
        <w:rPr>
          <w:spacing w:val="-5"/>
          <w:sz w:val="25"/>
        </w:rPr>
        <w:t> </w:t>
      </w:r>
      <w:r>
        <w:rPr>
          <w:sz w:val="25"/>
        </w:rPr>
        <w:t>the</w:t>
      </w:r>
      <w:r>
        <w:rPr>
          <w:spacing w:val="-2"/>
          <w:sz w:val="25"/>
        </w:rPr>
        <w:t> </w:t>
      </w:r>
      <w:r>
        <w:rPr>
          <w:sz w:val="25"/>
        </w:rPr>
        <w:t>respective</w:t>
      </w:r>
      <w:r>
        <w:rPr>
          <w:spacing w:val="-2"/>
          <w:sz w:val="25"/>
        </w:rPr>
        <w:t> </w:t>
      </w:r>
      <w:r>
        <w:rPr>
          <w:sz w:val="25"/>
        </w:rPr>
        <w:t>chairs/directors</w:t>
      </w:r>
      <w:r>
        <w:rPr>
          <w:spacing w:val="-4"/>
          <w:sz w:val="25"/>
        </w:rPr>
        <w:t> </w:t>
      </w:r>
      <w:r>
        <w:rPr>
          <w:sz w:val="25"/>
        </w:rPr>
        <w:t>shall</w:t>
      </w:r>
      <w:r>
        <w:rPr>
          <w:spacing w:val="-7"/>
          <w:sz w:val="25"/>
        </w:rPr>
        <w:t> </w:t>
      </w:r>
      <w:r>
        <w:rPr>
          <w:sz w:val="25"/>
        </w:rPr>
        <w:t>forward</w:t>
      </w:r>
      <w:r>
        <w:rPr>
          <w:spacing w:val="-9"/>
          <w:sz w:val="25"/>
        </w:rPr>
        <w:t> </w:t>
      </w:r>
      <w:r>
        <w:rPr>
          <w:sz w:val="25"/>
        </w:rPr>
        <w:t>the</w:t>
      </w:r>
      <w:r>
        <w:rPr>
          <w:spacing w:val="-2"/>
          <w:sz w:val="25"/>
        </w:rPr>
        <w:t> </w:t>
      </w:r>
      <w:r>
        <w:rPr>
          <w:sz w:val="25"/>
        </w:rPr>
        <w:t>applicant’s letter and statement to the pertinent academic units for the consideration of their respective faculties.</w:t>
      </w:r>
      <w:r>
        <w:rPr>
          <w:spacing w:val="-1"/>
          <w:sz w:val="25"/>
        </w:rPr>
        <w:t> </w:t>
      </w:r>
      <w:r>
        <w:rPr>
          <w:sz w:val="25"/>
        </w:rPr>
        <w:t>The</w:t>
      </w:r>
      <w:r>
        <w:rPr>
          <w:spacing w:val="-5"/>
          <w:sz w:val="25"/>
        </w:rPr>
        <w:t> </w:t>
      </w:r>
      <w:r>
        <w:rPr>
          <w:sz w:val="25"/>
        </w:rPr>
        <w:t>academic</w:t>
      </w:r>
      <w:r>
        <w:rPr>
          <w:spacing w:val="-1"/>
          <w:sz w:val="25"/>
        </w:rPr>
        <w:t> </w:t>
      </w:r>
      <w:r>
        <w:rPr>
          <w:sz w:val="25"/>
        </w:rPr>
        <w:t>units</w:t>
      </w:r>
      <w:r>
        <w:rPr>
          <w:spacing w:val="-6"/>
          <w:sz w:val="25"/>
        </w:rPr>
        <w:t> </w:t>
      </w:r>
      <w:r>
        <w:rPr>
          <w:sz w:val="25"/>
        </w:rPr>
        <w:t>may</w:t>
      </w:r>
      <w:r>
        <w:rPr>
          <w:spacing w:val="-1"/>
          <w:sz w:val="25"/>
        </w:rPr>
        <w:t> </w:t>
      </w:r>
      <w:r>
        <w:rPr>
          <w:sz w:val="25"/>
        </w:rPr>
        <w:t>request</w:t>
      </w:r>
      <w:r>
        <w:rPr>
          <w:spacing w:val="-7"/>
          <w:sz w:val="25"/>
        </w:rPr>
        <w:t> </w:t>
      </w:r>
      <w:r>
        <w:rPr>
          <w:sz w:val="25"/>
        </w:rPr>
        <w:t>additional</w:t>
      </w:r>
      <w:r>
        <w:rPr>
          <w:spacing w:val="-3"/>
          <w:sz w:val="25"/>
        </w:rPr>
        <w:t> </w:t>
      </w:r>
      <w:r>
        <w:rPr>
          <w:sz w:val="25"/>
        </w:rPr>
        <w:t>information</w:t>
      </w:r>
      <w:r>
        <w:rPr>
          <w:spacing w:val="-5"/>
          <w:sz w:val="25"/>
        </w:rPr>
        <w:t> </w:t>
      </w:r>
      <w:r>
        <w:rPr>
          <w:sz w:val="25"/>
        </w:rPr>
        <w:t>(that</w:t>
      </w:r>
      <w:r>
        <w:rPr>
          <w:spacing w:val="-7"/>
          <w:sz w:val="25"/>
        </w:rPr>
        <w:t> </w:t>
      </w:r>
      <w:r>
        <w:rPr>
          <w:sz w:val="25"/>
        </w:rPr>
        <w:t>is</w:t>
      </w:r>
      <w:r>
        <w:rPr>
          <w:spacing w:val="-6"/>
          <w:sz w:val="25"/>
        </w:rPr>
        <w:t> </w:t>
      </w:r>
      <w:r>
        <w:rPr>
          <w:sz w:val="25"/>
        </w:rPr>
        <w:t>not legally</w:t>
      </w:r>
      <w:r>
        <w:rPr>
          <w:spacing w:val="-1"/>
          <w:sz w:val="25"/>
        </w:rPr>
        <w:t> </w:t>
      </w:r>
      <w:r>
        <w:rPr>
          <w:sz w:val="25"/>
        </w:rPr>
        <w:t>protected information) from the faculty member, such as a CV or copies of RSCA artifacts.</w:t>
      </w:r>
    </w:p>
    <w:p>
      <w:pPr>
        <w:pStyle w:val="BodyText"/>
        <w:spacing w:before="8"/>
      </w:pPr>
    </w:p>
    <w:p>
      <w:pPr>
        <w:pStyle w:val="ListParagraph"/>
        <w:numPr>
          <w:ilvl w:val="0"/>
          <w:numId w:val="1"/>
        </w:numPr>
        <w:tabs>
          <w:tab w:pos="448" w:val="left" w:leader="none"/>
        </w:tabs>
        <w:spacing w:line="240" w:lineRule="auto" w:before="1" w:after="0"/>
        <w:ind w:left="137" w:right="254" w:firstLine="0"/>
        <w:jc w:val="left"/>
        <w:rPr>
          <w:sz w:val="25"/>
        </w:rPr>
      </w:pPr>
      <w:r>
        <w:rPr>
          <w:sz w:val="25"/>
        </w:rPr>
        <w:t>Within</w:t>
      </w:r>
      <w:r>
        <w:rPr>
          <w:spacing w:val="-2"/>
          <w:sz w:val="25"/>
        </w:rPr>
        <w:t> </w:t>
      </w:r>
      <w:r>
        <w:rPr>
          <w:sz w:val="25"/>
        </w:rPr>
        <w:t>twenty instructional days of receipt of the above letter and statement by the academic units being consulted, they shall discuss and then forward a recommendation on the</w:t>
      </w:r>
      <w:r>
        <w:rPr>
          <w:spacing w:val="-6"/>
          <w:sz w:val="25"/>
        </w:rPr>
        <w:t> </w:t>
      </w:r>
      <w:r>
        <w:rPr>
          <w:sz w:val="25"/>
        </w:rPr>
        <w:t>request to</w:t>
      </w:r>
      <w:r>
        <w:rPr>
          <w:spacing w:val="-6"/>
          <w:sz w:val="25"/>
        </w:rPr>
        <w:t> </w:t>
      </w:r>
      <w:r>
        <w:rPr>
          <w:sz w:val="25"/>
        </w:rPr>
        <w:t>the</w:t>
      </w:r>
      <w:r>
        <w:rPr>
          <w:spacing w:val="-6"/>
          <w:sz w:val="25"/>
        </w:rPr>
        <w:t> </w:t>
      </w:r>
      <w:r>
        <w:rPr>
          <w:sz w:val="25"/>
        </w:rPr>
        <w:t>dean(s).</w:t>
      </w:r>
      <w:r>
        <w:rPr>
          <w:spacing w:val="-8"/>
          <w:sz w:val="25"/>
        </w:rPr>
        <w:t> </w:t>
      </w:r>
      <w:r>
        <w:rPr>
          <w:sz w:val="25"/>
        </w:rPr>
        <w:t>Recommendations forwarded</w:t>
      </w:r>
      <w:r>
        <w:rPr>
          <w:spacing w:val="-5"/>
          <w:sz w:val="25"/>
        </w:rPr>
        <w:t> </w:t>
      </w:r>
      <w:r>
        <w:rPr>
          <w:sz w:val="25"/>
        </w:rPr>
        <w:t>from</w:t>
      </w:r>
      <w:r>
        <w:rPr>
          <w:spacing w:val="-9"/>
          <w:sz w:val="25"/>
        </w:rPr>
        <w:t> </w:t>
      </w:r>
      <w:r>
        <w:rPr>
          <w:sz w:val="25"/>
        </w:rPr>
        <w:t>the</w:t>
      </w:r>
      <w:r>
        <w:rPr>
          <w:spacing w:val="-5"/>
          <w:sz w:val="25"/>
        </w:rPr>
        <w:t> </w:t>
      </w:r>
      <w:r>
        <w:rPr>
          <w:sz w:val="25"/>
        </w:rPr>
        <w:t>departments must include the results of voting in a secret ballot by the tenured and probationary faculty (including individuals on authorized leave status, participants in faculty early and pre-retirement programs), and lecturer faculty with three-year</w:t>
      </w:r>
      <w:r>
        <w:rPr>
          <w:spacing w:val="-1"/>
          <w:sz w:val="25"/>
        </w:rPr>
        <w:t> </w:t>
      </w:r>
      <w:r>
        <w:rPr>
          <w:sz w:val="25"/>
        </w:rPr>
        <w:t>contracts and a time base of at least 0.5 (7.5 WTU) in the semester</w:t>
      </w:r>
      <w:r>
        <w:rPr>
          <w:spacing w:val="-6"/>
          <w:sz w:val="25"/>
        </w:rPr>
        <w:t> </w:t>
      </w:r>
      <w:r>
        <w:rPr>
          <w:sz w:val="25"/>
        </w:rPr>
        <w:t>the voting is held. The affected academic units may request a meeting with the candidate during the twenty instructional day</w:t>
      </w:r>
      <w:r>
        <w:rPr>
          <w:spacing w:val="-1"/>
          <w:sz w:val="25"/>
        </w:rPr>
        <w:t> </w:t>
      </w:r>
      <w:r>
        <w:rPr>
          <w:sz w:val="25"/>
        </w:rPr>
        <w:t>period prior to voting or forwarding a </w:t>
      </w:r>
      <w:r>
        <w:rPr>
          <w:spacing w:val="-2"/>
          <w:sz w:val="25"/>
        </w:rPr>
        <w:t>recommendation.</w:t>
      </w:r>
    </w:p>
    <w:p>
      <w:pPr>
        <w:spacing w:after="0" w:line="240" w:lineRule="auto"/>
        <w:jc w:val="left"/>
        <w:rPr>
          <w:sz w:val="25"/>
        </w:rPr>
        <w:sectPr>
          <w:type w:val="continuous"/>
          <w:pgSz w:w="12240" w:h="15840"/>
          <w:pgMar w:top="1420" w:bottom="280" w:left="1180" w:right="1180"/>
        </w:sectPr>
      </w:pPr>
    </w:p>
    <w:p>
      <w:pPr>
        <w:pStyle w:val="ListParagraph"/>
        <w:numPr>
          <w:ilvl w:val="0"/>
          <w:numId w:val="1"/>
        </w:numPr>
        <w:tabs>
          <w:tab w:pos="448" w:val="left" w:leader="none"/>
        </w:tabs>
        <w:spacing w:line="242" w:lineRule="auto" w:before="36" w:after="0"/>
        <w:ind w:left="137" w:right="151" w:firstLine="0"/>
        <w:jc w:val="both"/>
        <w:rPr>
          <w:sz w:val="25"/>
        </w:rPr>
      </w:pPr>
      <w:r>
        <w:rPr>
          <w:sz w:val="25"/>
        </w:rPr>
        <w:t>After</w:t>
      </w:r>
      <w:r>
        <w:rPr>
          <w:spacing w:val="-5"/>
          <w:sz w:val="25"/>
        </w:rPr>
        <w:t> </w:t>
      </w:r>
      <w:r>
        <w:rPr>
          <w:sz w:val="25"/>
        </w:rPr>
        <w:t>receiving their</w:t>
      </w:r>
      <w:r>
        <w:rPr>
          <w:spacing w:val="-5"/>
          <w:sz w:val="25"/>
        </w:rPr>
        <w:t> </w:t>
      </w:r>
      <w:r>
        <w:rPr>
          <w:sz w:val="25"/>
        </w:rPr>
        <w:t>recommendations</w:t>
      </w:r>
      <w:r>
        <w:rPr>
          <w:spacing w:val="-7"/>
          <w:sz w:val="25"/>
        </w:rPr>
        <w:t> </w:t>
      </w:r>
      <w:r>
        <w:rPr>
          <w:sz w:val="25"/>
        </w:rPr>
        <w:t>and</w:t>
      </w:r>
      <w:r>
        <w:rPr>
          <w:spacing w:val="-6"/>
          <w:sz w:val="25"/>
        </w:rPr>
        <w:t> </w:t>
      </w:r>
      <w:r>
        <w:rPr>
          <w:sz w:val="25"/>
        </w:rPr>
        <w:t>following timely</w:t>
      </w:r>
      <w:r>
        <w:rPr>
          <w:spacing w:val="-2"/>
          <w:sz w:val="25"/>
        </w:rPr>
        <w:t> </w:t>
      </w:r>
      <w:r>
        <w:rPr>
          <w:sz w:val="25"/>
        </w:rPr>
        <w:t>consultation</w:t>
      </w:r>
      <w:r>
        <w:rPr>
          <w:spacing w:val="-6"/>
          <w:sz w:val="25"/>
        </w:rPr>
        <w:t> </w:t>
      </w:r>
      <w:r>
        <w:rPr>
          <w:sz w:val="25"/>
        </w:rPr>
        <w:t>with</w:t>
      </w:r>
      <w:r>
        <w:rPr>
          <w:spacing w:val="-6"/>
          <w:sz w:val="25"/>
        </w:rPr>
        <w:t> </w:t>
      </w:r>
      <w:r>
        <w:rPr>
          <w:sz w:val="25"/>
        </w:rPr>
        <w:t>faculty</w:t>
      </w:r>
      <w:r>
        <w:rPr>
          <w:spacing w:val="-2"/>
          <w:sz w:val="25"/>
        </w:rPr>
        <w:t> </w:t>
      </w:r>
      <w:r>
        <w:rPr>
          <w:sz w:val="25"/>
        </w:rPr>
        <w:t>in</w:t>
      </w:r>
      <w:r>
        <w:rPr>
          <w:spacing w:val="-13"/>
          <w:sz w:val="25"/>
        </w:rPr>
        <w:t> </w:t>
      </w:r>
      <w:r>
        <w:rPr>
          <w:sz w:val="25"/>
        </w:rPr>
        <w:t>the pertinent academic units, the dean(s) shall</w:t>
      </w:r>
      <w:r>
        <w:rPr>
          <w:spacing w:val="-5"/>
          <w:sz w:val="25"/>
        </w:rPr>
        <w:t> </w:t>
      </w:r>
      <w:r>
        <w:rPr>
          <w:sz w:val="25"/>
        </w:rPr>
        <w:t>forward their recommendation(s) and those of</w:t>
      </w:r>
      <w:r>
        <w:rPr>
          <w:spacing w:val="-2"/>
          <w:sz w:val="25"/>
        </w:rPr>
        <w:t> </w:t>
      </w:r>
      <w:r>
        <w:rPr>
          <w:sz w:val="25"/>
        </w:rPr>
        <w:t>the faculty within</w:t>
      </w:r>
      <w:r>
        <w:rPr>
          <w:spacing w:val="-2"/>
          <w:sz w:val="25"/>
        </w:rPr>
        <w:t> </w:t>
      </w:r>
      <w:r>
        <w:rPr>
          <w:sz w:val="25"/>
        </w:rPr>
        <w:t>twenty instructional days to</w:t>
      </w:r>
      <w:r>
        <w:rPr>
          <w:spacing w:val="-3"/>
          <w:sz w:val="25"/>
        </w:rPr>
        <w:t> </w:t>
      </w:r>
      <w:r>
        <w:rPr>
          <w:sz w:val="25"/>
        </w:rPr>
        <w:t>the</w:t>
      </w:r>
      <w:r>
        <w:rPr>
          <w:spacing w:val="-3"/>
          <w:sz w:val="25"/>
        </w:rPr>
        <w:t> </w:t>
      </w:r>
      <w:r>
        <w:rPr>
          <w:sz w:val="25"/>
        </w:rPr>
        <w:t>Provost</w:t>
      </w:r>
      <w:r>
        <w:rPr>
          <w:spacing w:val="-5"/>
          <w:sz w:val="25"/>
        </w:rPr>
        <w:t> </w:t>
      </w:r>
      <w:r>
        <w:rPr>
          <w:sz w:val="25"/>
        </w:rPr>
        <w:t>and</w:t>
      </w:r>
      <w:r>
        <w:rPr>
          <w:spacing w:val="-2"/>
          <w:sz w:val="25"/>
        </w:rPr>
        <w:t> </w:t>
      </w:r>
      <w:r>
        <w:rPr>
          <w:sz w:val="25"/>
        </w:rPr>
        <w:t>Senior</w:t>
      </w:r>
      <w:r>
        <w:rPr>
          <w:spacing w:val="-1"/>
          <w:sz w:val="25"/>
        </w:rPr>
        <w:t> </w:t>
      </w:r>
      <w:r>
        <w:rPr>
          <w:sz w:val="25"/>
        </w:rPr>
        <w:t>Vice</w:t>
      </w:r>
      <w:r>
        <w:rPr>
          <w:spacing w:val="-2"/>
          <w:sz w:val="25"/>
        </w:rPr>
        <w:t> </w:t>
      </w:r>
      <w:r>
        <w:rPr>
          <w:sz w:val="25"/>
        </w:rPr>
        <w:t>President for</w:t>
      </w:r>
      <w:r>
        <w:rPr>
          <w:spacing w:val="-1"/>
          <w:sz w:val="25"/>
        </w:rPr>
        <w:t> </w:t>
      </w:r>
      <w:r>
        <w:rPr>
          <w:sz w:val="25"/>
        </w:rPr>
        <w:t>Academic Affairs for a final decision.</w:t>
      </w:r>
    </w:p>
    <w:p>
      <w:pPr>
        <w:pStyle w:val="BodyText"/>
        <w:spacing w:before="3"/>
      </w:pPr>
    </w:p>
    <w:p>
      <w:pPr>
        <w:pStyle w:val="ListParagraph"/>
        <w:numPr>
          <w:ilvl w:val="0"/>
          <w:numId w:val="1"/>
        </w:numPr>
        <w:tabs>
          <w:tab w:pos="448" w:val="left" w:leader="none"/>
        </w:tabs>
        <w:spacing w:line="240" w:lineRule="auto" w:before="0" w:after="0"/>
        <w:ind w:left="137" w:right="189" w:firstLine="0"/>
        <w:jc w:val="left"/>
        <w:rPr>
          <w:sz w:val="25"/>
        </w:rPr>
      </w:pPr>
      <w:r>
        <w:rPr>
          <w:sz w:val="25"/>
        </w:rPr>
        <w:t>An</w:t>
      </w:r>
      <w:r>
        <w:rPr>
          <w:spacing w:val="-6"/>
          <w:sz w:val="25"/>
        </w:rPr>
        <w:t> </w:t>
      </w:r>
      <w:r>
        <w:rPr>
          <w:sz w:val="25"/>
        </w:rPr>
        <w:t>on-campus</w:t>
      </w:r>
      <w:r>
        <w:rPr>
          <w:spacing w:val="-1"/>
          <w:sz w:val="25"/>
        </w:rPr>
        <w:t> </w:t>
      </w:r>
      <w:r>
        <w:rPr>
          <w:sz w:val="25"/>
        </w:rPr>
        <w:t>faculty</w:t>
      </w:r>
      <w:r>
        <w:rPr>
          <w:spacing w:val="-8"/>
          <w:sz w:val="25"/>
        </w:rPr>
        <w:t> </w:t>
      </w:r>
      <w:r>
        <w:rPr>
          <w:sz w:val="25"/>
        </w:rPr>
        <w:t>member</w:t>
      </w:r>
      <w:r>
        <w:rPr>
          <w:spacing w:val="-5"/>
          <w:sz w:val="25"/>
        </w:rPr>
        <w:t> </w:t>
      </w:r>
      <w:r>
        <w:rPr>
          <w:sz w:val="25"/>
        </w:rPr>
        <w:t>who</w:t>
      </w:r>
      <w:r>
        <w:rPr>
          <w:spacing w:val="-7"/>
          <w:sz w:val="25"/>
        </w:rPr>
        <w:t> </w:t>
      </w:r>
      <w:r>
        <w:rPr>
          <w:sz w:val="25"/>
        </w:rPr>
        <w:t>is</w:t>
      </w:r>
      <w:r>
        <w:rPr>
          <w:spacing w:val="-1"/>
          <w:sz w:val="25"/>
        </w:rPr>
        <w:t> </w:t>
      </w:r>
      <w:r>
        <w:rPr>
          <w:sz w:val="25"/>
        </w:rPr>
        <w:t>completely</w:t>
      </w:r>
      <w:r>
        <w:rPr>
          <w:spacing w:val="-2"/>
          <w:sz w:val="25"/>
        </w:rPr>
        <w:t> </w:t>
      </w:r>
      <w:r>
        <w:rPr>
          <w:sz w:val="25"/>
        </w:rPr>
        <w:t>reassigned</w:t>
      </w:r>
      <w:r>
        <w:rPr>
          <w:spacing w:val="-6"/>
          <w:sz w:val="25"/>
        </w:rPr>
        <w:t> </w:t>
      </w:r>
      <w:r>
        <w:rPr>
          <w:sz w:val="25"/>
        </w:rPr>
        <w:t>to</w:t>
      </w:r>
      <w:r>
        <w:rPr>
          <w:spacing w:val="-7"/>
          <w:sz w:val="25"/>
        </w:rPr>
        <w:t> </w:t>
      </w:r>
      <w:r>
        <w:rPr>
          <w:sz w:val="25"/>
        </w:rPr>
        <w:t>another</w:t>
      </w:r>
      <w:r>
        <w:rPr>
          <w:spacing w:val="-5"/>
          <w:sz w:val="25"/>
        </w:rPr>
        <w:t> </w:t>
      </w:r>
      <w:r>
        <w:rPr>
          <w:sz w:val="25"/>
        </w:rPr>
        <w:t>department</w:t>
      </w:r>
      <w:r>
        <w:rPr>
          <w:spacing w:val="-1"/>
          <w:sz w:val="25"/>
        </w:rPr>
        <w:t> </w:t>
      </w:r>
      <w:r>
        <w:rPr>
          <w:sz w:val="25"/>
        </w:rPr>
        <w:t>in</w:t>
      </w:r>
      <w:r>
        <w:rPr>
          <w:spacing w:val="-6"/>
          <w:sz w:val="25"/>
        </w:rPr>
        <w:t> </w:t>
      </w:r>
      <w:r>
        <w:rPr>
          <w:sz w:val="25"/>
        </w:rPr>
        <w:t>this manner shall lose all rights and privileges in</w:t>
      </w:r>
      <w:r>
        <w:rPr>
          <w:spacing w:val="-2"/>
          <w:sz w:val="25"/>
        </w:rPr>
        <w:t> </w:t>
      </w:r>
      <w:r>
        <w:rPr>
          <w:sz w:val="25"/>
        </w:rPr>
        <w:t>the department of previous assignment. An on- campus faculty member who is partially reassigned to another department in this manner shall retain rights and privileges in the department of previous assignment. The faculty member shall, however, maintain all seniority points and tenure rights. The provision concerning seniority points and</w:t>
      </w:r>
      <w:r>
        <w:rPr>
          <w:spacing w:val="-3"/>
          <w:sz w:val="25"/>
        </w:rPr>
        <w:t> </w:t>
      </w:r>
      <w:r>
        <w:rPr>
          <w:sz w:val="25"/>
        </w:rPr>
        <w:t>tenure</w:t>
      </w:r>
      <w:r>
        <w:rPr>
          <w:spacing w:val="-4"/>
          <w:sz w:val="25"/>
        </w:rPr>
        <w:t> </w:t>
      </w:r>
      <w:r>
        <w:rPr>
          <w:sz w:val="25"/>
        </w:rPr>
        <w:t>rights</w:t>
      </w:r>
      <w:r>
        <w:rPr>
          <w:spacing w:val="-5"/>
          <w:sz w:val="25"/>
        </w:rPr>
        <w:t> </w:t>
      </w:r>
      <w:r>
        <w:rPr>
          <w:sz w:val="25"/>
        </w:rPr>
        <w:t>may be</w:t>
      </w:r>
      <w:r>
        <w:rPr>
          <w:spacing w:val="-3"/>
          <w:sz w:val="25"/>
        </w:rPr>
        <w:t> </w:t>
      </w:r>
      <w:r>
        <w:rPr>
          <w:sz w:val="25"/>
        </w:rPr>
        <w:t>waived</w:t>
      </w:r>
      <w:r>
        <w:rPr>
          <w:spacing w:val="-4"/>
          <w:sz w:val="25"/>
        </w:rPr>
        <w:t> </w:t>
      </w:r>
      <w:r>
        <w:rPr>
          <w:sz w:val="25"/>
        </w:rPr>
        <w:t>if</w:t>
      </w:r>
      <w:r>
        <w:rPr>
          <w:spacing w:val="-5"/>
          <w:sz w:val="25"/>
        </w:rPr>
        <w:t> </w:t>
      </w:r>
      <w:r>
        <w:rPr>
          <w:sz w:val="25"/>
        </w:rPr>
        <w:t>the</w:t>
      </w:r>
      <w:r>
        <w:rPr>
          <w:spacing w:val="-3"/>
          <w:sz w:val="25"/>
        </w:rPr>
        <w:t> </w:t>
      </w:r>
      <w:r>
        <w:rPr>
          <w:sz w:val="25"/>
        </w:rPr>
        <w:t>faculty member</w:t>
      </w:r>
      <w:r>
        <w:rPr>
          <w:spacing w:val="-3"/>
          <w:sz w:val="25"/>
        </w:rPr>
        <w:t> </w:t>
      </w:r>
      <w:r>
        <w:rPr>
          <w:sz w:val="25"/>
        </w:rPr>
        <w:t>makes</w:t>
      </w:r>
      <w:r>
        <w:rPr>
          <w:spacing w:val="-5"/>
          <w:sz w:val="25"/>
        </w:rPr>
        <w:t> </w:t>
      </w:r>
      <w:r>
        <w:rPr>
          <w:sz w:val="25"/>
        </w:rPr>
        <w:t>this request in writing to the President.</w:t>
      </w:r>
    </w:p>
    <w:p>
      <w:pPr>
        <w:pStyle w:val="BodyText"/>
        <w:rPr>
          <w:sz w:val="20"/>
        </w:rPr>
      </w:pPr>
    </w:p>
    <w:p>
      <w:pPr>
        <w:pStyle w:val="BodyText"/>
        <w:rPr>
          <w:sz w:val="20"/>
        </w:rPr>
      </w:pPr>
    </w:p>
    <w:p>
      <w:pPr>
        <w:pStyle w:val="BodyText"/>
        <w:spacing w:before="9"/>
        <w:rPr>
          <w:sz w:val="10"/>
        </w:rPr>
      </w:pPr>
      <w:r>
        <w:rPr/>
        <w:pict>
          <v:rect style="position:absolute;margin-left:64.440002pt;margin-top:7.760117pt;width:482.76pt;height:.72pt;mso-position-horizontal-relative:page;mso-position-vertical-relative:paragraph;z-index:-15728128;mso-wrap-distance-left:0;mso-wrap-distance-right:0" id="docshape2" filled="true" fillcolor="#000000" stroked="false">
            <v:fill type="solid"/>
            <w10:wrap type="topAndBottom"/>
          </v:rect>
        </w:pict>
      </w:r>
    </w:p>
    <w:p>
      <w:pPr>
        <w:pStyle w:val="BodyText"/>
        <w:rPr>
          <w:sz w:val="15"/>
        </w:rPr>
      </w:pPr>
    </w:p>
    <w:p>
      <w:pPr>
        <w:spacing w:before="94"/>
        <w:ind w:left="260" w:right="0" w:firstLine="0"/>
        <w:jc w:val="left"/>
        <w:rPr>
          <w:rFonts w:ascii="Arial"/>
          <w:b/>
          <w:sz w:val="18"/>
        </w:rPr>
      </w:pPr>
      <w:r>
        <w:rPr>
          <w:rFonts w:ascii="Arial"/>
          <w:b/>
          <w:color w:val="201E1F"/>
          <w:sz w:val="18"/>
        </w:rPr>
        <w:t>EFFECTIVE:</w:t>
      </w:r>
      <w:r>
        <w:rPr>
          <w:rFonts w:ascii="Arial"/>
          <w:b/>
          <w:color w:val="201E1F"/>
          <w:spacing w:val="-3"/>
          <w:sz w:val="18"/>
        </w:rPr>
        <w:t> </w:t>
      </w:r>
      <w:r>
        <w:rPr>
          <w:rFonts w:ascii="Arial"/>
          <w:b/>
          <w:color w:val="201E1F"/>
          <w:sz w:val="18"/>
        </w:rPr>
        <w:t>Fall </w:t>
      </w:r>
      <w:r>
        <w:rPr>
          <w:rFonts w:ascii="Arial"/>
          <w:b/>
          <w:color w:val="201E1F"/>
          <w:spacing w:val="-4"/>
          <w:sz w:val="18"/>
        </w:rPr>
        <w:t>2023</w:t>
      </w:r>
    </w:p>
    <w:sectPr>
      <w:pgSz w:w="12240" w:h="15840"/>
      <w:pgMar w:top="136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7" w:hanging="310"/>
        <w:jc w:val="left"/>
      </w:pPr>
      <w:rPr>
        <w:rFonts w:hint="default" w:ascii="Calibri" w:hAnsi="Calibri" w:eastAsia="Calibri" w:cs="Calibri"/>
        <w:b w:val="0"/>
        <w:bCs w:val="0"/>
        <w:i w:val="0"/>
        <w:iCs w:val="0"/>
        <w:spacing w:val="0"/>
        <w:w w:val="100"/>
        <w:sz w:val="25"/>
        <w:szCs w:val="25"/>
        <w:lang w:val="en-US" w:eastAsia="en-US" w:bidi="ar-SA"/>
      </w:rPr>
    </w:lvl>
    <w:lvl w:ilvl="1">
      <w:start w:val="0"/>
      <w:numFmt w:val="bullet"/>
      <w:lvlText w:val="•"/>
      <w:lvlJc w:val="left"/>
      <w:pPr>
        <w:ind w:left="1114" w:hanging="310"/>
      </w:pPr>
      <w:rPr>
        <w:rFonts w:hint="default"/>
        <w:lang w:val="en-US" w:eastAsia="en-US" w:bidi="ar-SA"/>
      </w:rPr>
    </w:lvl>
    <w:lvl w:ilvl="2">
      <w:start w:val="0"/>
      <w:numFmt w:val="bullet"/>
      <w:lvlText w:val="•"/>
      <w:lvlJc w:val="left"/>
      <w:pPr>
        <w:ind w:left="2088" w:hanging="310"/>
      </w:pPr>
      <w:rPr>
        <w:rFonts w:hint="default"/>
        <w:lang w:val="en-US" w:eastAsia="en-US" w:bidi="ar-SA"/>
      </w:rPr>
    </w:lvl>
    <w:lvl w:ilvl="3">
      <w:start w:val="0"/>
      <w:numFmt w:val="bullet"/>
      <w:lvlText w:val="•"/>
      <w:lvlJc w:val="left"/>
      <w:pPr>
        <w:ind w:left="3062" w:hanging="310"/>
      </w:pPr>
      <w:rPr>
        <w:rFonts w:hint="default"/>
        <w:lang w:val="en-US" w:eastAsia="en-US" w:bidi="ar-SA"/>
      </w:rPr>
    </w:lvl>
    <w:lvl w:ilvl="4">
      <w:start w:val="0"/>
      <w:numFmt w:val="bullet"/>
      <w:lvlText w:val="•"/>
      <w:lvlJc w:val="left"/>
      <w:pPr>
        <w:ind w:left="4036" w:hanging="310"/>
      </w:pPr>
      <w:rPr>
        <w:rFonts w:hint="default"/>
        <w:lang w:val="en-US" w:eastAsia="en-US" w:bidi="ar-SA"/>
      </w:rPr>
    </w:lvl>
    <w:lvl w:ilvl="5">
      <w:start w:val="0"/>
      <w:numFmt w:val="bullet"/>
      <w:lvlText w:val="•"/>
      <w:lvlJc w:val="left"/>
      <w:pPr>
        <w:ind w:left="5010" w:hanging="310"/>
      </w:pPr>
      <w:rPr>
        <w:rFonts w:hint="default"/>
        <w:lang w:val="en-US" w:eastAsia="en-US" w:bidi="ar-SA"/>
      </w:rPr>
    </w:lvl>
    <w:lvl w:ilvl="6">
      <w:start w:val="0"/>
      <w:numFmt w:val="bullet"/>
      <w:lvlText w:val="•"/>
      <w:lvlJc w:val="left"/>
      <w:pPr>
        <w:ind w:left="5984" w:hanging="310"/>
      </w:pPr>
      <w:rPr>
        <w:rFonts w:hint="default"/>
        <w:lang w:val="en-US" w:eastAsia="en-US" w:bidi="ar-SA"/>
      </w:rPr>
    </w:lvl>
    <w:lvl w:ilvl="7">
      <w:start w:val="0"/>
      <w:numFmt w:val="bullet"/>
      <w:lvlText w:val="•"/>
      <w:lvlJc w:val="left"/>
      <w:pPr>
        <w:ind w:left="6958" w:hanging="310"/>
      </w:pPr>
      <w:rPr>
        <w:rFonts w:hint="default"/>
        <w:lang w:val="en-US" w:eastAsia="en-US" w:bidi="ar-SA"/>
      </w:rPr>
    </w:lvl>
    <w:lvl w:ilvl="8">
      <w:start w:val="0"/>
      <w:numFmt w:val="bullet"/>
      <w:lvlText w:val="•"/>
      <w:lvlJc w:val="left"/>
      <w:pPr>
        <w:ind w:left="7932" w:hanging="31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5"/>
      <w:szCs w:val="25"/>
      <w:lang w:val="en-US" w:eastAsia="en-US" w:bidi="ar-SA"/>
    </w:rPr>
  </w:style>
  <w:style w:styleId="ListParagraph" w:type="paragraph">
    <w:name w:val="List Paragraph"/>
    <w:basedOn w:val="Normal"/>
    <w:uiPriority w:val="1"/>
    <w:qFormat/>
    <w:pPr>
      <w:ind w:left="137"/>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2022-12-02T00:03:30Z</dcterms:created>
  <dcterms:modified xsi:type="dcterms:W3CDTF">2022-12-02T00:03:30Z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2022-12-02T00:00:00Z</vt:filetime>
  </property>
  <property fmtid="{D5CDD505-2E9C-101B-9397-08002B2CF9AE}" pid="6" name="Producer">
    <vt:lpwstr>Adobe PDF Library 22.3.58</vt:lpwstr>
  </property>
  <property fmtid="{D5CDD505-2E9C-101B-9397-08002B2CF9AE}" pid="7" name="SourceModified">
    <vt:lpwstr>D:20220727160502</vt:lpwstr>
  </property>
</Properties>
</file>