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542" w:val="left" w:leader="none"/>
        </w:tabs>
        <w:spacing w:line="247" w:lineRule="auto"/>
        <w:ind w:left="8867"/>
        <w:jc w:val="right"/>
      </w:pPr>
      <w:r>
        <w:rPr>
          <w:color w:val="211E1F"/>
          <w:w w:val="105"/>
        </w:rPr>
        <w:t>California</w:t>
      </w:r>
      <w:r>
        <w:rPr>
          <w:color w:val="211E1F"/>
          <w:spacing w:val="-13"/>
          <w:w w:val="105"/>
        </w:rPr>
        <w:t> </w:t>
      </w:r>
      <w:r>
        <w:rPr>
          <w:color w:val="211E1F"/>
          <w:w w:val="105"/>
        </w:rPr>
        <w:t>State</w:t>
      </w:r>
      <w:r>
        <w:rPr>
          <w:color w:val="211E1F"/>
          <w:spacing w:val="-7"/>
          <w:w w:val="105"/>
        </w:rPr>
        <w:t> </w:t>
      </w:r>
      <w:r>
        <w:rPr>
          <w:color w:val="211E1F"/>
          <w:w w:val="105"/>
        </w:rPr>
        <w:t>University,</w:t>
      </w:r>
      <w:r>
        <w:rPr>
          <w:color w:val="211E1F"/>
          <w:spacing w:val="-6"/>
          <w:w w:val="105"/>
        </w:rPr>
        <w:t> </w:t>
      </w:r>
      <w:r>
        <w:rPr>
          <w:color w:val="211E1F"/>
          <w:w w:val="105"/>
        </w:rPr>
        <w:t>Long</w:t>
      </w:r>
      <w:r>
        <w:rPr>
          <w:color w:val="211E1F"/>
          <w:spacing w:val="-12"/>
          <w:w w:val="105"/>
        </w:rPr>
        <w:t> </w:t>
      </w:r>
      <w:r>
        <w:rPr>
          <w:color w:val="211E1F"/>
          <w:w w:val="105"/>
        </w:rPr>
        <w:t>Beach</w:t>
        <w:tab/>
      </w:r>
      <w:r>
        <w:rPr>
          <w:color w:val="211E1F"/>
          <w:spacing w:val="-1"/>
          <w:w w:val="105"/>
        </w:rPr>
        <w:t>Policy</w:t>
      </w:r>
      <w:r>
        <w:rPr>
          <w:color w:val="211E1F"/>
          <w:spacing w:val="-15"/>
          <w:w w:val="105"/>
        </w:rPr>
        <w:t> </w:t>
      </w:r>
      <w:r>
        <w:rPr>
          <w:color w:val="211E1F"/>
          <w:w w:val="105"/>
        </w:rPr>
        <w:t>Statement</w:t>
      </w:r>
      <w:r>
        <w:rPr>
          <w:color w:val="211E1F"/>
          <w:spacing w:val="-64"/>
          <w:w w:val="105"/>
        </w:rPr>
        <w:t> </w:t>
      </w:r>
      <w:r>
        <w:rPr>
          <w:color w:val="211E1F"/>
        </w:rPr>
        <w:t>22-05</w:t>
      </w:r>
    </w:p>
    <w:p>
      <w:pPr>
        <w:spacing w:before="9"/>
        <w:ind w:left="0" w:right="111" w:firstLine="0"/>
        <w:jc w:val="right"/>
        <w:rPr>
          <w:sz w:val="20"/>
        </w:rPr>
      </w:pPr>
      <w:r>
        <w:rPr>
          <w:color w:val="211E1F"/>
          <w:sz w:val="20"/>
        </w:rPr>
        <w:t>March</w:t>
      </w:r>
      <w:r>
        <w:rPr>
          <w:color w:val="211E1F"/>
          <w:spacing w:val="3"/>
          <w:sz w:val="20"/>
        </w:rPr>
        <w:t> </w:t>
      </w:r>
      <w:r>
        <w:rPr>
          <w:color w:val="211E1F"/>
          <w:sz w:val="20"/>
        </w:rPr>
        <w:t>4,</w:t>
      </w:r>
      <w:r>
        <w:rPr>
          <w:color w:val="211E1F"/>
          <w:spacing w:val="3"/>
          <w:sz w:val="20"/>
        </w:rPr>
        <w:t> </w:t>
      </w:r>
      <w:r>
        <w:rPr>
          <w:color w:val="211E1F"/>
          <w:sz w:val="20"/>
        </w:rPr>
        <w:t>2022</w:t>
      </w:r>
    </w:p>
    <w:p>
      <w:pPr>
        <w:pStyle w:val="BodyText"/>
        <w:rPr>
          <w:sz w:val="13"/>
        </w:rPr>
      </w:pPr>
      <w:r>
        <w:rPr/>
        <w:pict>
          <v:shape style="position:absolute;margin-left:72pt;margin-top:8.699759pt;width:468pt;height:.75pt;mso-position-horizontal-relative:page;mso-position-vertical-relative:paragraph;z-index:-15728640;mso-wrap-distance-left:0;mso-wrap-distance-right:0" id="docshape1" coordorigin="1440,174" coordsize="9360,15" path="m10800,174l10793,174,1447,174,1440,174,1440,181,1440,188,1447,188,10793,188,10800,188,10800,181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line="254" w:lineRule="auto" w:before="100"/>
        <w:ind w:right="2323" w:firstLine="0"/>
      </w:pPr>
      <w:bookmarkStart w:name="Accessibility and Faculty Responsibility" w:id="1"/>
      <w:bookmarkEnd w:id="1"/>
      <w:r>
        <w:rPr>
          <w:b w:val="0"/>
        </w:rPr>
      </w:r>
      <w:r>
        <w:rPr>
          <w:color w:val="211E1F"/>
          <w:w w:val="105"/>
        </w:rPr>
        <w:t>Accessibility</w:t>
      </w:r>
      <w:r>
        <w:rPr>
          <w:color w:val="211E1F"/>
          <w:spacing w:val="-15"/>
          <w:w w:val="105"/>
        </w:rPr>
        <w:t> </w:t>
      </w:r>
      <w:r>
        <w:rPr>
          <w:color w:val="211E1F"/>
          <w:w w:val="105"/>
        </w:rPr>
        <w:t>and</w:t>
      </w:r>
      <w:r>
        <w:rPr>
          <w:color w:val="211E1F"/>
          <w:spacing w:val="-14"/>
          <w:w w:val="105"/>
        </w:rPr>
        <w:t> </w:t>
      </w:r>
      <w:r>
        <w:rPr>
          <w:color w:val="211E1F"/>
          <w:w w:val="105"/>
        </w:rPr>
        <w:t>Faculty</w:t>
      </w:r>
      <w:r>
        <w:rPr>
          <w:color w:val="211E1F"/>
          <w:spacing w:val="-14"/>
          <w:w w:val="105"/>
        </w:rPr>
        <w:t> </w:t>
      </w:r>
      <w:r>
        <w:rPr>
          <w:color w:val="211E1F"/>
          <w:w w:val="105"/>
        </w:rPr>
        <w:t>Responsibility</w:t>
      </w:r>
      <w:r>
        <w:rPr>
          <w:color w:val="211E1F"/>
          <w:spacing w:val="-15"/>
          <w:w w:val="105"/>
        </w:rPr>
        <w:t> </w:t>
      </w:r>
      <w:r>
        <w:rPr>
          <w:color w:val="211E1F"/>
          <w:w w:val="105"/>
        </w:rPr>
        <w:t>for</w:t>
      </w:r>
      <w:r>
        <w:rPr>
          <w:color w:val="211E1F"/>
          <w:spacing w:val="-64"/>
          <w:w w:val="105"/>
        </w:rPr>
        <w:t> </w:t>
      </w:r>
      <w:r>
        <w:rPr>
          <w:color w:val="211E1F"/>
          <w:w w:val="105"/>
        </w:rPr>
        <w:t>the</w:t>
      </w:r>
      <w:r>
        <w:rPr>
          <w:color w:val="211E1F"/>
          <w:spacing w:val="-10"/>
          <w:w w:val="105"/>
        </w:rPr>
        <w:t> </w:t>
      </w:r>
      <w:r>
        <w:rPr>
          <w:color w:val="211E1F"/>
          <w:w w:val="105"/>
        </w:rPr>
        <w:t>Selection</w:t>
      </w:r>
      <w:r>
        <w:rPr>
          <w:color w:val="211E1F"/>
          <w:spacing w:val="-1"/>
          <w:w w:val="105"/>
        </w:rPr>
        <w:t> </w:t>
      </w:r>
      <w:r>
        <w:rPr>
          <w:color w:val="211E1F"/>
          <w:w w:val="105"/>
        </w:rPr>
        <w:t>of</w:t>
      </w:r>
      <w:r>
        <w:rPr>
          <w:color w:val="211E1F"/>
          <w:spacing w:val="1"/>
          <w:w w:val="105"/>
        </w:rPr>
        <w:t> </w:t>
      </w:r>
      <w:r>
        <w:rPr>
          <w:color w:val="211E1F"/>
          <w:w w:val="105"/>
        </w:rPr>
        <w:t>Instructional</w:t>
      </w:r>
      <w:r>
        <w:rPr>
          <w:color w:val="211E1F"/>
          <w:spacing w:val="-2"/>
          <w:w w:val="105"/>
        </w:rPr>
        <w:t> </w:t>
      </w:r>
      <w:r>
        <w:rPr>
          <w:color w:val="211E1F"/>
          <w:w w:val="105"/>
        </w:rPr>
        <w:t>Materials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34" w:right="143"/>
        <w:jc w:val="center"/>
      </w:pPr>
      <w:r>
        <w:rPr>
          <w:color w:val="211E1F"/>
        </w:rPr>
        <w:t>(This policy supersedes Policy Statement 08-11. The policy was recommended by the Academic Senate on February</w:t>
      </w:r>
      <w:r>
        <w:rPr>
          <w:color w:val="211E1F"/>
          <w:spacing w:val="-47"/>
        </w:rPr>
        <w:t> </w:t>
      </w:r>
      <w:r>
        <w:rPr>
          <w:color w:val="211E1F"/>
        </w:rPr>
        <w:t>11,</w:t>
      </w:r>
      <w:r>
        <w:rPr>
          <w:color w:val="211E1F"/>
          <w:spacing w:val="-1"/>
        </w:rPr>
        <w:t> </w:t>
      </w:r>
      <w:r>
        <w:rPr>
          <w:color w:val="211E1F"/>
        </w:rPr>
        <w:t>2022</w:t>
      </w:r>
      <w:r>
        <w:rPr>
          <w:color w:val="211E1F"/>
          <w:spacing w:val="1"/>
        </w:rPr>
        <w:t> </w:t>
      </w:r>
      <w:r>
        <w:rPr>
          <w:color w:val="211E1F"/>
        </w:rPr>
        <w:t>and</w:t>
      </w:r>
      <w:r>
        <w:rPr>
          <w:color w:val="211E1F"/>
          <w:spacing w:val="1"/>
        </w:rPr>
        <w:t> </w:t>
      </w:r>
      <w:r>
        <w:rPr>
          <w:color w:val="211E1F"/>
        </w:rPr>
        <w:t>approved by</w:t>
      </w:r>
      <w:r>
        <w:rPr>
          <w:color w:val="211E1F"/>
          <w:spacing w:val="4"/>
        </w:rPr>
        <w:t> </w:t>
      </w:r>
      <w:r>
        <w:rPr>
          <w:color w:val="211E1F"/>
        </w:rPr>
        <w:t>the</w:t>
      </w:r>
      <w:r>
        <w:rPr>
          <w:color w:val="211E1F"/>
          <w:spacing w:val="1"/>
        </w:rPr>
        <w:t> </w:t>
      </w:r>
      <w:r>
        <w:rPr>
          <w:color w:val="211E1F"/>
        </w:rPr>
        <w:t>President</w:t>
      </w:r>
      <w:r>
        <w:rPr>
          <w:color w:val="211E1F"/>
          <w:spacing w:val="-1"/>
        </w:rPr>
        <w:t> </w:t>
      </w:r>
      <w:r>
        <w:rPr>
          <w:color w:val="211E1F"/>
        </w:rPr>
        <w:t>on</w:t>
      </w:r>
      <w:r>
        <w:rPr>
          <w:color w:val="211E1F"/>
          <w:spacing w:val="1"/>
        </w:rPr>
        <w:t> </w:t>
      </w:r>
      <w:r>
        <w:rPr>
          <w:color w:val="211E1F"/>
        </w:rPr>
        <w:t>February</w:t>
      </w:r>
      <w:r>
        <w:rPr>
          <w:color w:val="211E1F"/>
          <w:spacing w:val="4"/>
        </w:rPr>
        <w:t> </w:t>
      </w:r>
      <w:r>
        <w:rPr>
          <w:color w:val="211E1F"/>
        </w:rPr>
        <w:t>24, 2022.)</w:t>
      </w:r>
    </w:p>
    <w:p>
      <w:pPr>
        <w:pStyle w:val="BodyText"/>
        <w:rPr>
          <w:sz w:val="20"/>
        </w:rPr>
      </w:pPr>
    </w:p>
    <w:p>
      <w:pPr>
        <w:pStyle w:val="Heading2"/>
        <w:spacing w:before="119"/>
      </w:pPr>
      <w:bookmarkStart w:name="Preamble" w:id="2"/>
      <w:bookmarkEnd w:id="2"/>
      <w:r>
        <w:rPr>
          <w:b w:val="0"/>
        </w:rPr>
      </w:r>
      <w:r>
        <w:rPr>
          <w:color w:val="211E1F"/>
        </w:rPr>
        <w:t>Preamble</w:t>
      </w:r>
    </w:p>
    <w:p>
      <w:pPr>
        <w:pStyle w:val="BodyText"/>
        <w:spacing w:before="60"/>
        <w:ind w:left="120" w:right="325" w:firstLine="360"/>
      </w:pPr>
      <w:r>
        <w:rPr>
          <w:color w:val="211E1F"/>
        </w:rPr>
        <w:t>CSULB and the CSU are committed to providing equal access to information resources to all individuals. Our</w:t>
      </w:r>
      <w:r>
        <w:rPr>
          <w:color w:val="211E1F"/>
          <w:spacing w:val="1"/>
        </w:rPr>
        <w:t> </w:t>
      </w:r>
      <w:r>
        <w:rPr>
          <w:color w:val="211E1F"/>
        </w:rPr>
        <w:t>commitment is both an ethical matter and a legal mandate. CSULB and CSU policies must comply with federal and</w:t>
      </w:r>
      <w:r>
        <w:rPr>
          <w:color w:val="211E1F"/>
          <w:spacing w:val="-47"/>
        </w:rPr>
        <w:t> </w:t>
      </w:r>
      <w:r>
        <w:rPr>
          <w:color w:val="211E1F"/>
        </w:rPr>
        <w:t>California state laws governing access to information and services for students / persons with disabilities. The CSU</w:t>
      </w:r>
      <w:r>
        <w:rPr>
          <w:color w:val="211E1F"/>
          <w:spacing w:val="-47"/>
        </w:rPr>
        <w:t> </w:t>
      </w:r>
      <w:r>
        <w:rPr>
          <w:color w:val="211E1F"/>
        </w:rPr>
        <w:t>Academic Senate (CSU AS-2700-05) urges campus academic senates to create plans to support faculty and staff</w:t>
      </w:r>
      <w:r>
        <w:rPr>
          <w:color w:val="211E1F"/>
          <w:spacing w:val="1"/>
        </w:rPr>
        <w:t> </w:t>
      </w:r>
      <w:r>
        <w:rPr>
          <w:color w:val="211E1F"/>
        </w:rPr>
        <w:t>practices that will ensure timely access to all instructional materials. The Chancellor’s Office (CSU Executive Order</w:t>
      </w:r>
      <w:r>
        <w:rPr>
          <w:color w:val="211E1F"/>
          <w:spacing w:val="-47"/>
        </w:rPr>
        <w:t> </w:t>
      </w:r>
      <w:r>
        <w:rPr>
          <w:color w:val="211E1F"/>
        </w:rPr>
        <w:t>926 and</w:t>
      </w:r>
      <w:r>
        <w:rPr>
          <w:color w:val="211E1F"/>
          <w:spacing w:val="1"/>
        </w:rPr>
        <w:t> </w:t>
      </w:r>
      <w:r>
        <w:rPr>
          <w:color w:val="211E1F"/>
        </w:rPr>
        <w:t>Coded Memo</w:t>
      </w:r>
      <w:r>
        <w:rPr>
          <w:color w:val="211E1F"/>
          <w:spacing w:val="1"/>
        </w:rPr>
        <w:t> </w:t>
      </w:r>
      <w:r>
        <w:rPr>
          <w:color w:val="211E1F"/>
        </w:rPr>
        <w:t>AA</w:t>
      </w:r>
      <w:r>
        <w:rPr>
          <w:color w:val="211E1F"/>
          <w:spacing w:val="-5"/>
        </w:rPr>
        <w:t> </w:t>
      </w:r>
      <w:r>
        <w:rPr>
          <w:color w:val="211E1F"/>
        </w:rPr>
        <w:t>2006-41)</w:t>
      </w:r>
      <w:r>
        <w:rPr>
          <w:color w:val="211E1F"/>
          <w:spacing w:val="-2"/>
        </w:rPr>
        <w:t> </w:t>
      </w:r>
      <w:r>
        <w:rPr>
          <w:color w:val="211E1F"/>
        </w:rPr>
        <w:t>requires</w:t>
      </w:r>
      <w:r>
        <w:rPr>
          <w:color w:val="211E1F"/>
          <w:spacing w:val="-5"/>
        </w:rPr>
        <w:t> </w:t>
      </w:r>
      <w:r>
        <w:rPr>
          <w:color w:val="211E1F"/>
        </w:rPr>
        <w:t>campus</w:t>
      </w:r>
      <w:r>
        <w:rPr>
          <w:color w:val="211E1F"/>
          <w:spacing w:val="4"/>
        </w:rPr>
        <w:t> </w:t>
      </w:r>
      <w:r>
        <w:rPr>
          <w:color w:val="211E1F"/>
        </w:rPr>
        <w:t>administrations</w:t>
      </w:r>
      <w:r>
        <w:rPr>
          <w:color w:val="211E1F"/>
          <w:spacing w:val="3"/>
        </w:rPr>
        <w:t> </w:t>
      </w:r>
      <w:r>
        <w:rPr>
          <w:color w:val="211E1F"/>
        </w:rPr>
        <w:t>to</w:t>
      </w:r>
      <w:r>
        <w:rPr>
          <w:color w:val="211E1F"/>
          <w:spacing w:val="1"/>
        </w:rPr>
        <w:t> </w:t>
      </w:r>
      <w:r>
        <w:rPr>
          <w:color w:val="211E1F"/>
        </w:rPr>
        <w:t>do</w:t>
      </w:r>
      <w:r>
        <w:rPr>
          <w:color w:val="211E1F"/>
          <w:spacing w:val="1"/>
        </w:rPr>
        <w:t> </w:t>
      </w:r>
      <w:r>
        <w:rPr>
          <w:color w:val="211E1F"/>
        </w:rPr>
        <w:t>the</w:t>
      </w:r>
      <w:r>
        <w:rPr>
          <w:color w:val="211E1F"/>
          <w:spacing w:val="-7"/>
        </w:rPr>
        <w:t> </w:t>
      </w:r>
      <w:r>
        <w:rPr>
          <w:color w:val="211E1F"/>
        </w:rPr>
        <w:t>same.</w:t>
      </w:r>
    </w:p>
    <w:p>
      <w:pPr>
        <w:pStyle w:val="BodyText"/>
        <w:spacing w:before="3"/>
        <w:ind w:left="120" w:right="855" w:firstLine="360"/>
      </w:pPr>
      <w:r>
        <w:rPr>
          <w:color w:val="211E1F"/>
        </w:rPr>
        <w:t>The successful implementation of this policy requires the active cooperation of the faculty, departments,</w:t>
      </w:r>
      <w:r>
        <w:rPr>
          <w:color w:val="211E1F"/>
          <w:spacing w:val="-47"/>
        </w:rPr>
        <w:t> </w:t>
      </w:r>
      <w:r>
        <w:rPr>
          <w:color w:val="211E1F"/>
        </w:rPr>
        <w:t>administration,</w:t>
      </w:r>
      <w:r>
        <w:rPr>
          <w:color w:val="211E1F"/>
          <w:spacing w:val="-8"/>
        </w:rPr>
        <w:t> </w:t>
      </w:r>
      <w:r>
        <w:rPr>
          <w:color w:val="211E1F"/>
        </w:rPr>
        <w:t>staff, and</w:t>
      </w:r>
      <w:r>
        <w:rPr>
          <w:color w:val="211E1F"/>
          <w:spacing w:val="1"/>
        </w:rPr>
        <w:t> </w:t>
      </w:r>
      <w:r>
        <w:rPr>
          <w:color w:val="211E1F"/>
        </w:rPr>
        <w:t>students.</w:t>
      </w:r>
    </w:p>
    <w:p>
      <w:pPr>
        <w:pStyle w:val="BodyText"/>
        <w:spacing w:line="203" w:lineRule="exact"/>
        <w:ind w:left="480"/>
      </w:pPr>
      <w:r>
        <w:rPr>
          <w:color w:val="211E1F"/>
        </w:rPr>
        <w:t>Faculty will follow</w:t>
      </w:r>
      <w:r>
        <w:rPr>
          <w:color w:val="211E1F"/>
          <w:spacing w:val="-3"/>
        </w:rPr>
        <w:t> </w:t>
      </w:r>
      <w:r>
        <w:rPr>
          <w:color w:val="211E1F"/>
        </w:rPr>
        <w:t>the</w:t>
      </w:r>
      <w:r>
        <w:rPr>
          <w:color w:val="211E1F"/>
          <w:spacing w:val="-9"/>
        </w:rPr>
        <w:t> </w:t>
      </w:r>
      <w:r>
        <w:rPr>
          <w:color w:val="211E1F"/>
        </w:rPr>
        <w:t>Accessible</w:t>
      </w:r>
      <w:r>
        <w:rPr>
          <w:color w:val="211E1F"/>
          <w:spacing w:val="-2"/>
        </w:rPr>
        <w:t> </w:t>
      </w:r>
      <w:r>
        <w:rPr>
          <w:color w:val="211E1F"/>
        </w:rPr>
        <w:t>Technology</w:t>
      </w:r>
      <w:r>
        <w:rPr>
          <w:color w:val="211E1F"/>
          <w:spacing w:val="1"/>
        </w:rPr>
        <w:t> </w:t>
      </w:r>
      <w:r>
        <w:rPr>
          <w:color w:val="211E1F"/>
        </w:rPr>
        <w:t>Initiative</w:t>
      </w:r>
      <w:r>
        <w:rPr>
          <w:color w:val="211E1F"/>
          <w:spacing w:val="-2"/>
        </w:rPr>
        <w:t> </w:t>
      </w:r>
      <w:r>
        <w:rPr>
          <w:color w:val="211E1F"/>
        </w:rPr>
        <w:t>(ATI)</w:t>
      </w:r>
      <w:r>
        <w:rPr>
          <w:color w:val="211E1F"/>
          <w:spacing w:val="-5"/>
        </w:rPr>
        <w:t> </w:t>
      </w:r>
      <w:r>
        <w:rPr>
          <w:color w:val="211E1F"/>
        </w:rPr>
        <w:t>guidelines for: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" w:after="0"/>
        <w:ind w:left="840" w:right="0" w:hanging="360"/>
        <w:jc w:val="left"/>
        <w:rPr>
          <w:color w:val="211E1F"/>
          <w:sz w:val="18"/>
        </w:rPr>
      </w:pPr>
      <w:r>
        <w:rPr>
          <w:color w:val="211E1F"/>
          <w:sz w:val="18"/>
        </w:rPr>
        <w:t>Selecting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digital content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and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textbooks;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4" w:after="0"/>
        <w:ind w:left="840" w:right="0" w:hanging="360"/>
        <w:jc w:val="left"/>
        <w:rPr>
          <w:color w:val="211E1F"/>
          <w:sz w:val="18"/>
        </w:rPr>
      </w:pPr>
      <w:r>
        <w:rPr>
          <w:color w:val="211E1F"/>
          <w:sz w:val="18"/>
        </w:rPr>
        <w:t>Compiling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course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packets</w:t>
      </w:r>
      <w:r>
        <w:rPr>
          <w:color w:val="211E1F"/>
          <w:spacing w:val="2"/>
          <w:sz w:val="18"/>
        </w:rPr>
        <w:t> </w:t>
      </w:r>
      <w:r>
        <w:rPr>
          <w:color w:val="211E1F"/>
          <w:sz w:val="18"/>
        </w:rPr>
        <w:t>in</w:t>
      </w:r>
      <w:r>
        <w:rPr>
          <w:color w:val="211E1F"/>
          <w:spacing w:val="-9"/>
          <w:sz w:val="18"/>
        </w:rPr>
        <w:t> </w:t>
      </w:r>
      <w:r>
        <w:rPr>
          <w:color w:val="211E1F"/>
          <w:sz w:val="18"/>
        </w:rPr>
        <w:t>accessible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print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formats;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" w:after="0"/>
        <w:ind w:left="840" w:right="0" w:hanging="360"/>
        <w:jc w:val="left"/>
        <w:rPr>
          <w:color w:val="211E1F"/>
          <w:sz w:val="18"/>
        </w:rPr>
      </w:pPr>
      <w:r>
        <w:rPr>
          <w:color w:val="211E1F"/>
          <w:sz w:val="18"/>
        </w:rPr>
        <w:t>Integrating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Universal Design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for</w:t>
      </w:r>
      <w:r>
        <w:rPr>
          <w:color w:val="211E1F"/>
          <w:spacing w:val="-5"/>
          <w:sz w:val="18"/>
        </w:rPr>
        <w:t> </w:t>
      </w:r>
      <w:r>
        <w:rPr>
          <w:color w:val="211E1F"/>
          <w:sz w:val="18"/>
        </w:rPr>
        <w:t>Learning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(UDL)</w:t>
      </w:r>
      <w:r>
        <w:rPr>
          <w:color w:val="211E1F"/>
          <w:spacing w:val="-6"/>
          <w:sz w:val="18"/>
        </w:rPr>
        <w:t> </w:t>
      </w:r>
      <w:r>
        <w:rPr>
          <w:color w:val="211E1F"/>
          <w:sz w:val="18"/>
        </w:rPr>
        <w:t>and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accessibility best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practices in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all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course</w:t>
      </w:r>
      <w:r>
        <w:rPr>
          <w:color w:val="211E1F"/>
          <w:spacing w:val="-9"/>
          <w:sz w:val="18"/>
        </w:rPr>
        <w:t> </w:t>
      </w:r>
      <w:r>
        <w:rPr>
          <w:color w:val="211E1F"/>
          <w:sz w:val="18"/>
        </w:rPr>
        <w:t>content;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3" w:after="0"/>
        <w:ind w:left="840" w:right="572" w:hanging="360"/>
        <w:jc w:val="left"/>
        <w:rPr>
          <w:sz w:val="18"/>
        </w:rPr>
      </w:pPr>
      <w:r>
        <w:rPr>
          <w:color w:val="211E1F"/>
          <w:sz w:val="18"/>
        </w:rPr>
        <w:t>Adopting and submitting digital materials course packets and textbooks to the university by established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deadlines;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" w:after="0"/>
        <w:ind w:left="840" w:right="200" w:hanging="360"/>
        <w:jc w:val="left"/>
        <w:rPr>
          <w:color w:val="211E1F"/>
          <w:sz w:val="18"/>
        </w:rPr>
      </w:pPr>
      <w:r>
        <w:rPr>
          <w:color w:val="211E1F"/>
          <w:sz w:val="18"/>
        </w:rPr>
        <w:t>Handling accessible instructional materials in a manner that upholds copyright law, and respects intellectual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property</w:t>
      </w:r>
      <w:r>
        <w:rPr>
          <w:color w:val="211E1F"/>
          <w:spacing w:val="3"/>
          <w:sz w:val="18"/>
        </w:rPr>
        <w:t> </w:t>
      </w:r>
      <w:r>
        <w:rPr>
          <w:color w:val="211E1F"/>
          <w:sz w:val="18"/>
        </w:rPr>
        <w:t>rights;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8" w:after="0"/>
        <w:ind w:left="840" w:right="0" w:hanging="360"/>
        <w:jc w:val="left"/>
        <w:rPr>
          <w:color w:val="211E1F"/>
          <w:sz w:val="18"/>
        </w:rPr>
      </w:pPr>
      <w:r>
        <w:rPr>
          <w:color w:val="211E1F"/>
          <w:sz w:val="18"/>
        </w:rPr>
        <w:t>Selecting</w:t>
      </w:r>
      <w:r>
        <w:rPr>
          <w:color w:val="211E1F"/>
          <w:spacing w:val="-9"/>
          <w:sz w:val="18"/>
        </w:rPr>
        <w:t> </w:t>
      </w:r>
      <w:r>
        <w:rPr>
          <w:color w:val="211E1F"/>
          <w:sz w:val="18"/>
        </w:rPr>
        <w:t>captioned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multimedia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and</w:t>
      </w:r>
      <w:r>
        <w:rPr>
          <w:color w:val="211E1F"/>
          <w:spacing w:val="-9"/>
          <w:sz w:val="18"/>
        </w:rPr>
        <w:t> </w:t>
      </w:r>
      <w:r>
        <w:rPr>
          <w:color w:val="211E1F"/>
          <w:sz w:val="18"/>
        </w:rPr>
        <w:t>accessible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third-party</w:t>
      </w:r>
      <w:r>
        <w:rPr>
          <w:color w:val="211E1F"/>
          <w:spacing w:val="-6"/>
          <w:sz w:val="18"/>
        </w:rPr>
        <w:t> </w:t>
      </w:r>
      <w:r>
        <w:rPr>
          <w:color w:val="211E1F"/>
          <w:sz w:val="18"/>
        </w:rPr>
        <w:t>software/websites.</w:t>
      </w:r>
    </w:p>
    <w:p>
      <w:pPr>
        <w:pStyle w:val="BodyText"/>
        <w:rPr>
          <w:sz w:val="29"/>
        </w:rPr>
      </w:pPr>
    </w:p>
    <w:p>
      <w:pPr>
        <w:pStyle w:val="Heading2"/>
      </w:pPr>
      <w:bookmarkStart w:name="The Purpose of this Policy" w:id="3"/>
      <w:bookmarkEnd w:id="3"/>
      <w:r>
        <w:rPr>
          <w:b w:val="0"/>
        </w:rPr>
      </w:r>
      <w:r>
        <w:rPr>
          <w:color w:val="211E1F"/>
        </w:rPr>
        <w:t>The</w:t>
      </w:r>
      <w:r>
        <w:rPr>
          <w:color w:val="211E1F"/>
          <w:spacing w:val="-1"/>
        </w:rPr>
        <w:t> </w:t>
      </w:r>
      <w:r>
        <w:rPr>
          <w:color w:val="211E1F"/>
        </w:rPr>
        <w:t>Purpose</w:t>
      </w:r>
      <w:r>
        <w:rPr>
          <w:color w:val="211E1F"/>
          <w:spacing w:val="-1"/>
        </w:rPr>
        <w:t> </w:t>
      </w:r>
      <w:r>
        <w:rPr>
          <w:color w:val="211E1F"/>
        </w:rPr>
        <w:t>of</w:t>
      </w:r>
      <w:r>
        <w:rPr>
          <w:color w:val="211E1F"/>
          <w:spacing w:val="-3"/>
        </w:rPr>
        <w:t> </w:t>
      </w:r>
      <w:r>
        <w:rPr>
          <w:color w:val="211E1F"/>
        </w:rPr>
        <w:t>this Policy</w:t>
      </w: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240" w:lineRule="auto" w:before="52" w:after="0"/>
        <w:ind w:left="681" w:right="172" w:hanging="159"/>
        <w:jc w:val="left"/>
        <w:rPr>
          <w:sz w:val="18"/>
        </w:rPr>
      </w:pPr>
      <w:r>
        <w:rPr>
          <w:color w:val="211E1F"/>
          <w:sz w:val="18"/>
        </w:rPr>
        <w:t>To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provide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guidance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to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faculty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and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departments</w:t>
      </w:r>
      <w:r>
        <w:rPr>
          <w:color w:val="211E1F"/>
          <w:spacing w:val="-7"/>
          <w:sz w:val="18"/>
        </w:rPr>
        <w:t> </w:t>
      </w:r>
      <w:r>
        <w:rPr>
          <w:color w:val="211E1F"/>
          <w:sz w:val="18"/>
        </w:rPr>
        <w:t>on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textbook and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other</w:t>
      </w:r>
      <w:r>
        <w:rPr>
          <w:color w:val="211E1F"/>
          <w:spacing w:val="-5"/>
          <w:sz w:val="18"/>
        </w:rPr>
        <w:t> </w:t>
      </w:r>
      <w:r>
        <w:rPr>
          <w:color w:val="211E1F"/>
          <w:sz w:val="18"/>
        </w:rPr>
        <w:t>instructional</w:t>
      </w:r>
      <w:r>
        <w:rPr>
          <w:color w:val="211E1F"/>
          <w:spacing w:val="-6"/>
          <w:sz w:val="18"/>
        </w:rPr>
        <w:t> </w:t>
      </w:r>
      <w:r>
        <w:rPr>
          <w:color w:val="211E1F"/>
          <w:sz w:val="18"/>
        </w:rPr>
        <w:t>material</w:t>
      </w:r>
      <w:r>
        <w:rPr>
          <w:color w:val="211E1F"/>
          <w:spacing w:val="-7"/>
          <w:sz w:val="18"/>
        </w:rPr>
        <w:t> </w:t>
      </w:r>
      <w:r>
        <w:rPr>
          <w:color w:val="211E1F"/>
          <w:sz w:val="18"/>
        </w:rPr>
        <w:t>selection</w:t>
      </w:r>
      <w:r>
        <w:rPr>
          <w:color w:val="211E1F"/>
          <w:spacing w:val="-10"/>
          <w:sz w:val="18"/>
        </w:rPr>
        <w:t> </w:t>
      </w:r>
      <w:r>
        <w:rPr>
          <w:color w:val="211E1F"/>
          <w:sz w:val="18"/>
        </w:rPr>
        <w:t>options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that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would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further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universal</w:t>
      </w:r>
      <w:r>
        <w:rPr>
          <w:color w:val="211E1F"/>
          <w:spacing w:val="3"/>
          <w:sz w:val="18"/>
        </w:rPr>
        <w:t> </w:t>
      </w:r>
      <w:r>
        <w:rPr>
          <w:color w:val="211E1F"/>
          <w:sz w:val="18"/>
        </w:rPr>
        <w:t>accessibility.</w:t>
      </w: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240" w:lineRule="auto" w:before="25" w:after="0"/>
        <w:ind w:left="681" w:right="299" w:hanging="159"/>
        <w:jc w:val="left"/>
        <w:rPr>
          <w:sz w:val="18"/>
        </w:rPr>
      </w:pPr>
      <w:r>
        <w:rPr>
          <w:color w:val="211E1F"/>
          <w:sz w:val="18"/>
        </w:rPr>
        <w:t>To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assist</w:t>
      </w:r>
      <w:r>
        <w:rPr>
          <w:color w:val="211E1F"/>
          <w:spacing w:val="-8"/>
          <w:sz w:val="18"/>
        </w:rPr>
        <w:t> </w:t>
      </w:r>
      <w:r>
        <w:rPr>
          <w:color w:val="211E1F"/>
          <w:sz w:val="18"/>
        </w:rPr>
        <w:t>in ensuring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that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instructional</w:t>
      </w:r>
      <w:r>
        <w:rPr>
          <w:color w:val="211E1F"/>
          <w:spacing w:val="2"/>
          <w:sz w:val="18"/>
        </w:rPr>
        <w:t> </w:t>
      </w:r>
      <w:r>
        <w:rPr>
          <w:color w:val="211E1F"/>
          <w:sz w:val="18"/>
        </w:rPr>
        <w:t>materials</w:t>
      </w:r>
      <w:r>
        <w:rPr>
          <w:color w:val="211E1F"/>
          <w:spacing w:val="2"/>
          <w:sz w:val="18"/>
        </w:rPr>
        <w:t> </w:t>
      </w:r>
      <w:r>
        <w:rPr>
          <w:color w:val="211E1F"/>
          <w:sz w:val="18"/>
        </w:rPr>
        <w:t>will</w:t>
      </w:r>
      <w:r>
        <w:rPr>
          <w:color w:val="211E1F"/>
          <w:spacing w:val="-5"/>
          <w:sz w:val="18"/>
        </w:rPr>
        <w:t> </w:t>
      </w:r>
      <w:r>
        <w:rPr>
          <w:color w:val="211E1F"/>
          <w:sz w:val="18"/>
        </w:rPr>
        <w:t>indeed be</w:t>
      </w:r>
      <w:r>
        <w:rPr>
          <w:color w:val="211E1F"/>
          <w:spacing w:val="-8"/>
          <w:sz w:val="18"/>
        </w:rPr>
        <w:t> </w:t>
      </w:r>
      <w:r>
        <w:rPr>
          <w:color w:val="211E1F"/>
          <w:sz w:val="18"/>
        </w:rPr>
        <w:t>accessible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in</w:t>
      </w:r>
      <w:r>
        <w:rPr>
          <w:color w:val="211E1F"/>
          <w:spacing w:val="-8"/>
          <w:sz w:val="18"/>
        </w:rPr>
        <w:t> </w:t>
      </w:r>
      <w:r>
        <w:rPr>
          <w:color w:val="211E1F"/>
          <w:sz w:val="18"/>
        </w:rPr>
        <w:t>a timely</w:t>
      </w:r>
      <w:r>
        <w:rPr>
          <w:color w:val="211E1F"/>
          <w:spacing w:val="-5"/>
          <w:sz w:val="18"/>
        </w:rPr>
        <w:t> </w:t>
      </w:r>
      <w:r>
        <w:rPr>
          <w:color w:val="211E1F"/>
          <w:sz w:val="18"/>
        </w:rPr>
        <w:t>manner</w:t>
      </w:r>
      <w:r>
        <w:rPr>
          <w:color w:val="211E1F"/>
          <w:spacing w:val="-4"/>
          <w:sz w:val="18"/>
        </w:rPr>
        <w:t> </w:t>
      </w:r>
      <w:r>
        <w:rPr>
          <w:color w:val="211E1F"/>
          <w:sz w:val="18"/>
        </w:rPr>
        <w:t>to all</w:t>
      </w:r>
      <w:r>
        <w:rPr>
          <w:color w:val="211E1F"/>
          <w:spacing w:val="-5"/>
          <w:sz w:val="18"/>
        </w:rPr>
        <w:t> </w:t>
      </w:r>
      <w:r>
        <w:rPr>
          <w:color w:val="211E1F"/>
          <w:sz w:val="18"/>
        </w:rPr>
        <w:t>students,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to promote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real-time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use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of the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materials.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</w:pPr>
      <w:bookmarkStart w:name="Definition of Terms" w:id="4"/>
      <w:bookmarkEnd w:id="4"/>
      <w:r>
        <w:rPr>
          <w:b w:val="0"/>
        </w:rPr>
      </w:r>
      <w:r>
        <w:rPr>
          <w:color w:val="211E1F"/>
        </w:rPr>
        <w:t>Definition</w:t>
      </w:r>
      <w:r>
        <w:rPr>
          <w:color w:val="211E1F"/>
          <w:spacing w:val="-3"/>
        </w:rPr>
        <w:t> </w:t>
      </w:r>
      <w:r>
        <w:rPr>
          <w:color w:val="211E1F"/>
        </w:rPr>
        <w:t>of</w:t>
      </w:r>
      <w:r>
        <w:rPr>
          <w:color w:val="211E1F"/>
          <w:spacing w:val="-3"/>
        </w:rPr>
        <w:t> </w:t>
      </w:r>
      <w:r>
        <w:rPr>
          <w:color w:val="211E1F"/>
        </w:rPr>
        <w:t>Terms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54" w:after="0"/>
        <w:ind w:left="753" w:right="805" w:hanging="180"/>
        <w:jc w:val="left"/>
        <w:rPr>
          <w:rFonts w:ascii="Symbol" w:hAnsi="Symbol"/>
          <w:color w:val="211E1F"/>
          <w:sz w:val="18"/>
        </w:rPr>
      </w:pPr>
      <w:r>
        <w:rPr>
          <w:b/>
          <w:color w:val="211E1F"/>
          <w:sz w:val="18"/>
        </w:rPr>
        <w:t>Accessible materials </w:t>
      </w:r>
      <w:r>
        <w:rPr>
          <w:color w:val="211E1F"/>
          <w:sz w:val="18"/>
        </w:rPr>
        <w:t>are those that are readable, perceivable, and potentially understandable by all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students</w:t>
      </w:r>
      <w:r>
        <w:rPr>
          <w:color w:val="211E1F"/>
          <w:spacing w:val="3"/>
          <w:sz w:val="18"/>
        </w:rPr>
        <w:t> </w:t>
      </w:r>
      <w:r>
        <w:rPr>
          <w:color w:val="211E1F"/>
          <w:sz w:val="18"/>
        </w:rPr>
        <w:t>(see</w:t>
      </w:r>
      <w:r>
        <w:rPr>
          <w:color w:val="944F71"/>
          <w:sz w:val="18"/>
        </w:rPr>
        <w:t> </w:t>
      </w:r>
      <w:hyperlink r:id="rId5">
        <w:r>
          <w:rPr>
            <w:color w:val="944F71"/>
            <w:sz w:val="18"/>
            <w:u w:val="single" w:color="944F71"/>
          </w:rPr>
          <w:t>the</w:t>
        </w:r>
        <w:r>
          <w:rPr>
            <w:color w:val="944F71"/>
            <w:spacing w:val="1"/>
            <w:sz w:val="18"/>
            <w:u w:val="single" w:color="944F71"/>
          </w:rPr>
          <w:t> </w:t>
        </w:r>
        <w:r>
          <w:rPr>
            <w:color w:val="944F71"/>
            <w:sz w:val="18"/>
            <w:u w:val="single" w:color="944F71"/>
          </w:rPr>
          <w:t>CSU’s</w:t>
        </w:r>
        <w:r>
          <w:rPr>
            <w:color w:val="944F71"/>
            <w:spacing w:val="-5"/>
            <w:sz w:val="18"/>
            <w:u w:val="single" w:color="944F71"/>
          </w:rPr>
          <w:t> </w:t>
        </w:r>
        <w:r>
          <w:rPr>
            <w:color w:val="944F71"/>
            <w:sz w:val="18"/>
            <w:u w:val="single" w:color="944F71"/>
          </w:rPr>
          <w:t>Instructional</w:t>
        </w:r>
        <w:r>
          <w:rPr>
            <w:color w:val="944F71"/>
            <w:spacing w:val="3"/>
            <w:sz w:val="18"/>
            <w:u w:val="single" w:color="944F71"/>
          </w:rPr>
          <w:t> </w:t>
        </w:r>
        <w:r>
          <w:rPr>
            <w:color w:val="944F71"/>
            <w:sz w:val="18"/>
            <w:u w:val="single" w:color="944F71"/>
          </w:rPr>
          <w:t>Materials</w:t>
        </w:r>
        <w:r>
          <w:rPr>
            <w:color w:val="944F71"/>
            <w:spacing w:val="-5"/>
            <w:sz w:val="18"/>
            <w:u w:val="single" w:color="944F71"/>
          </w:rPr>
          <w:t> </w:t>
        </w:r>
        <w:r>
          <w:rPr>
            <w:color w:val="944F71"/>
            <w:sz w:val="18"/>
            <w:u w:val="single" w:color="944F71"/>
          </w:rPr>
          <w:t>Website</w:t>
        </w:r>
        <w:r>
          <w:rPr>
            <w:color w:val="944F71"/>
            <w:spacing w:val="1"/>
            <w:sz w:val="18"/>
          </w:rPr>
          <w:t> </w:t>
        </w:r>
      </w:hyperlink>
      <w:r>
        <w:rPr>
          <w:color w:val="211E1F"/>
          <w:sz w:val="18"/>
        </w:rPr>
        <w:t>for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more</w:t>
      </w:r>
      <w:r>
        <w:rPr>
          <w:color w:val="211E1F"/>
          <w:spacing w:val="-7"/>
          <w:sz w:val="18"/>
        </w:rPr>
        <w:t> </w:t>
      </w:r>
      <w:r>
        <w:rPr>
          <w:color w:val="211E1F"/>
          <w:sz w:val="18"/>
        </w:rPr>
        <w:t>in</w:t>
      </w:r>
      <w:r>
        <w:rPr>
          <w:sz w:val="18"/>
        </w:rPr>
        <w:t>formation</w:t>
      </w:r>
      <w:r>
        <w:rPr>
          <w:color w:val="211E1F"/>
          <w:sz w:val="18"/>
        </w:rPr>
        <w:t>);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209" w:hanging="180"/>
        <w:jc w:val="left"/>
        <w:rPr>
          <w:rFonts w:ascii="Symbol" w:hAnsi="Symbol"/>
          <w:color w:val="211E1F"/>
          <w:sz w:val="18"/>
        </w:rPr>
      </w:pPr>
      <w:r>
        <w:rPr>
          <w:b/>
          <w:color w:val="211E1F"/>
          <w:sz w:val="18"/>
        </w:rPr>
        <w:t>Instructional materials </w:t>
      </w:r>
      <w:r>
        <w:rPr>
          <w:color w:val="211E1F"/>
          <w:sz w:val="18"/>
        </w:rPr>
        <w:t>include textbooks, course packets, handouts, maps, multimedia, digital media, web-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based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materials,</w:t>
      </w:r>
      <w:r>
        <w:rPr>
          <w:color w:val="211E1F"/>
          <w:spacing w:val="-4"/>
          <w:sz w:val="18"/>
        </w:rPr>
        <w:t> </w:t>
      </w:r>
      <w:r>
        <w:rPr>
          <w:color w:val="211E1F"/>
          <w:sz w:val="18"/>
        </w:rPr>
        <w:t>communication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systems (e.g.,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MS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Teams and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Zoom),</w:t>
      </w:r>
      <w:r>
        <w:rPr>
          <w:color w:val="211E1F"/>
          <w:spacing w:val="-4"/>
          <w:sz w:val="18"/>
        </w:rPr>
        <w:t> </w:t>
      </w:r>
      <w:r>
        <w:rPr>
          <w:color w:val="211E1F"/>
          <w:sz w:val="18"/>
        </w:rPr>
        <w:t>and</w:t>
      </w:r>
      <w:r>
        <w:rPr>
          <w:color w:val="211E1F"/>
          <w:spacing w:val="-2"/>
          <w:sz w:val="18"/>
        </w:rPr>
        <w:t> </w:t>
      </w:r>
      <w:r>
        <w:rPr>
          <w:color w:val="211E1F"/>
          <w:sz w:val="18"/>
        </w:rPr>
        <w:t>learning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management</w:t>
      </w:r>
      <w:r>
        <w:rPr>
          <w:color w:val="211E1F"/>
          <w:spacing w:val="-3"/>
          <w:sz w:val="18"/>
        </w:rPr>
        <w:t> </w:t>
      </w:r>
      <w:r>
        <w:rPr>
          <w:color w:val="211E1F"/>
          <w:sz w:val="18"/>
        </w:rPr>
        <w:t>systems;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73" w:lineRule="auto" w:before="2" w:after="0"/>
        <w:ind w:left="753" w:right="381" w:hanging="180"/>
        <w:jc w:val="both"/>
        <w:rPr>
          <w:rFonts w:ascii="Symbol" w:hAnsi="Symbol"/>
          <w:sz w:val="18"/>
        </w:rPr>
      </w:pPr>
      <w:r>
        <w:rPr>
          <w:sz w:val="18"/>
        </w:rPr>
        <w:t>A </w:t>
      </w:r>
      <w:r>
        <w:rPr>
          <w:b/>
          <w:sz w:val="18"/>
        </w:rPr>
        <w:t>learning management system </w:t>
      </w:r>
      <w:r>
        <w:rPr>
          <w:sz w:val="18"/>
        </w:rPr>
        <w:t>is a software application with the capability of integrating authoring tools</w:t>
      </w:r>
      <w:r>
        <w:rPr>
          <w:spacing w:val="-48"/>
          <w:sz w:val="18"/>
        </w:rPr>
        <w:t> </w:t>
      </w:r>
      <w:r>
        <w:rPr>
          <w:sz w:val="18"/>
        </w:rPr>
        <w:t>that assist with learning and allow faculty to create, organize, and deliver content, and to track and assess</w:t>
      </w:r>
      <w:r>
        <w:rPr>
          <w:spacing w:val="1"/>
          <w:sz w:val="18"/>
        </w:rPr>
        <w:t> </w:t>
      </w:r>
      <w:r>
        <w:rPr>
          <w:sz w:val="18"/>
        </w:rPr>
        <w:t>student</w:t>
      </w:r>
      <w:r>
        <w:rPr>
          <w:spacing w:val="-1"/>
          <w:sz w:val="18"/>
        </w:rPr>
        <w:t> </w:t>
      </w:r>
      <w:r>
        <w:rPr>
          <w:sz w:val="18"/>
        </w:rPr>
        <w:t>performance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educational</w:t>
      </w:r>
      <w:r>
        <w:rPr>
          <w:spacing w:val="3"/>
          <w:sz w:val="18"/>
        </w:rPr>
        <w:t> </w:t>
      </w:r>
      <w:r>
        <w:rPr>
          <w:sz w:val="18"/>
        </w:rPr>
        <w:t>courses.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bookmarkStart w:name="General Principle" w:id="5"/>
      <w:bookmarkEnd w:id="5"/>
      <w:r>
        <w:rPr>
          <w:b w:val="0"/>
        </w:rPr>
      </w:r>
      <w:r>
        <w:rPr>
          <w:color w:val="211E1F"/>
        </w:rPr>
        <w:t>General</w:t>
      </w:r>
      <w:r>
        <w:rPr>
          <w:color w:val="211E1F"/>
          <w:spacing w:val="-6"/>
        </w:rPr>
        <w:t> </w:t>
      </w:r>
      <w:r>
        <w:rPr>
          <w:color w:val="211E1F"/>
        </w:rPr>
        <w:t>Principle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59" w:after="0"/>
        <w:ind w:left="1200" w:right="147" w:hanging="360"/>
        <w:jc w:val="left"/>
        <w:rPr>
          <w:color w:val="211E1F"/>
          <w:sz w:val="18"/>
        </w:rPr>
      </w:pPr>
      <w:r>
        <w:rPr>
          <w:color w:val="211E1F"/>
          <w:sz w:val="18"/>
        </w:rPr>
        <w:t>The Office of the Provost, in consultation with the college deans, campus bookstore and the Bob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Murphy Access Center’s Accessible Instructional Materials Center (AIMC), will establish deadlines each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academic year for faculty submissions of requests for instructional materials to be used in their courses.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The campus administration is responsible for allocating resources to the colleges and departments in a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timely manner in order to enhance the likelihood that departments will assign faculty to courses early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enough to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assure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the</w:t>
      </w:r>
      <w:r>
        <w:rPr>
          <w:color w:val="211E1F"/>
          <w:spacing w:val="-7"/>
          <w:sz w:val="18"/>
        </w:rPr>
        <w:t> </w:t>
      </w:r>
      <w:r>
        <w:rPr>
          <w:color w:val="211E1F"/>
          <w:sz w:val="18"/>
        </w:rPr>
        <w:t>success</w:t>
      </w:r>
      <w:r>
        <w:rPr>
          <w:color w:val="211E1F"/>
          <w:spacing w:val="4"/>
          <w:sz w:val="18"/>
        </w:rPr>
        <w:t> </w:t>
      </w:r>
      <w:r>
        <w:rPr>
          <w:color w:val="211E1F"/>
          <w:sz w:val="18"/>
        </w:rPr>
        <w:t>of this</w:t>
      </w:r>
      <w:r>
        <w:rPr>
          <w:color w:val="211E1F"/>
          <w:spacing w:val="4"/>
          <w:sz w:val="18"/>
        </w:rPr>
        <w:t> </w:t>
      </w:r>
      <w:r>
        <w:rPr>
          <w:color w:val="211E1F"/>
          <w:sz w:val="18"/>
        </w:rPr>
        <w:t>policy.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76" w:lineRule="auto" w:before="84" w:after="0"/>
        <w:ind w:left="1200" w:right="500" w:hanging="360"/>
        <w:jc w:val="left"/>
        <w:rPr>
          <w:sz w:val="18"/>
        </w:rPr>
      </w:pPr>
      <w:r>
        <w:rPr>
          <w:sz w:val="18"/>
        </w:rPr>
        <w:t>The deadlines established for faculty submissions of requests for instructional materials will provide</w:t>
      </w:r>
      <w:r>
        <w:rPr>
          <w:spacing w:val="-47"/>
          <w:sz w:val="18"/>
        </w:rPr>
        <w:t> </w:t>
      </w:r>
      <w:r>
        <w:rPr>
          <w:sz w:val="18"/>
        </w:rPr>
        <w:t>sufficient lead time to identify and secure accessible instructional materials and/or for the AIMC to</w:t>
      </w:r>
      <w:r>
        <w:rPr>
          <w:spacing w:val="1"/>
          <w:sz w:val="18"/>
        </w:rPr>
        <w:t> </w:t>
      </w:r>
      <w:r>
        <w:rPr>
          <w:sz w:val="18"/>
        </w:rPr>
        <w:t>consult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necessary</w:t>
      </w:r>
      <w:r>
        <w:rPr>
          <w:spacing w:val="4"/>
          <w:sz w:val="18"/>
        </w:rPr>
        <w:t> </w:t>
      </w:r>
      <w:r>
        <w:rPr>
          <w:sz w:val="18"/>
        </w:rPr>
        <w:t>entities.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06" w:lineRule="exact" w:before="0" w:after="0"/>
        <w:ind w:left="1200" w:right="0" w:hanging="361"/>
        <w:jc w:val="left"/>
        <w:rPr>
          <w:sz w:val="18"/>
        </w:rPr>
      </w:pPr>
      <w:r>
        <w:rPr>
          <w:sz w:val="18"/>
        </w:rPr>
        <w:t>Faculty</w:t>
      </w:r>
      <w:r>
        <w:rPr>
          <w:spacing w:val="-6"/>
          <w:sz w:val="18"/>
        </w:rPr>
        <w:t> </w:t>
      </w:r>
      <w:r>
        <w:rPr>
          <w:sz w:val="18"/>
        </w:rPr>
        <w:t>are responsible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choosing</w:t>
      </w:r>
      <w:r>
        <w:rPr>
          <w:spacing w:val="-8"/>
          <w:sz w:val="18"/>
        </w:rPr>
        <w:t> </w:t>
      </w:r>
      <w:r>
        <w:rPr>
          <w:sz w:val="18"/>
        </w:rPr>
        <w:t>their</w:t>
      </w:r>
      <w:r>
        <w:rPr>
          <w:spacing w:val="-3"/>
          <w:sz w:val="18"/>
        </w:rPr>
        <w:t> </w:t>
      </w:r>
      <w:r>
        <w:rPr>
          <w:sz w:val="18"/>
        </w:rPr>
        <w:t>instructional</w:t>
      </w:r>
      <w:r>
        <w:rPr>
          <w:spacing w:val="1"/>
          <w:sz w:val="18"/>
        </w:rPr>
        <w:t> </w:t>
      </w:r>
      <w:r>
        <w:rPr>
          <w:sz w:val="18"/>
        </w:rPr>
        <w:t>materials.</w:t>
      </w:r>
    </w:p>
    <w:p>
      <w:pPr>
        <w:pStyle w:val="ListParagraph"/>
        <w:numPr>
          <w:ilvl w:val="2"/>
          <w:numId w:val="2"/>
        </w:numPr>
        <w:tabs>
          <w:tab w:pos="1559" w:val="left" w:leader="none"/>
          <w:tab w:pos="1560" w:val="left" w:leader="none"/>
        </w:tabs>
        <w:spacing w:line="240" w:lineRule="auto" w:before="30" w:after="0"/>
        <w:ind w:left="1559" w:right="777" w:hanging="360"/>
        <w:jc w:val="left"/>
        <w:rPr>
          <w:color w:val="211E1F"/>
          <w:sz w:val="18"/>
        </w:rPr>
      </w:pPr>
      <w:r>
        <w:rPr>
          <w:color w:val="211E1F"/>
          <w:sz w:val="18"/>
        </w:rPr>
        <w:t>Departments have responsibility for assuring that faculty members submit their requests for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instructional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materials</w:t>
      </w:r>
      <w:r>
        <w:rPr>
          <w:color w:val="211E1F"/>
          <w:spacing w:val="3"/>
          <w:sz w:val="18"/>
        </w:rPr>
        <w:t> </w:t>
      </w:r>
      <w:r>
        <w:rPr>
          <w:color w:val="211E1F"/>
          <w:sz w:val="18"/>
        </w:rPr>
        <w:t>by</w:t>
      </w:r>
      <w:r>
        <w:rPr>
          <w:color w:val="211E1F"/>
          <w:spacing w:val="2"/>
          <w:sz w:val="18"/>
        </w:rPr>
        <w:t> </w:t>
      </w:r>
      <w:r>
        <w:rPr>
          <w:color w:val="211E1F"/>
          <w:sz w:val="18"/>
        </w:rPr>
        <w:t>the deadlines</w:t>
      </w:r>
      <w:r>
        <w:rPr>
          <w:color w:val="211E1F"/>
          <w:spacing w:val="2"/>
          <w:sz w:val="18"/>
        </w:rPr>
        <w:t> </w:t>
      </w:r>
      <w:r>
        <w:rPr>
          <w:color w:val="211E1F"/>
          <w:sz w:val="18"/>
        </w:rPr>
        <w:t>established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by</w:t>
      </w:r>
      <w:r>
        <w:rPr>
          <w:color w:val="211E1F"/>
          <w:spacing w:val="3"/>
          <w:sz w:val="18"/>
        </w:rPr>
        <w:t> </w:t>
      </w:r>
      <w:r>
        <w:rPr>
          <w:color w:val="211E1F"/>
          <w:sz w:val="18"/>
        </w:rPr>
        <w:t>the Office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of</w:t>
      </w:r>
      <w:r>
        <w:rPr>
          <w:color w:val="211E1F"/>
          <w:spacing w:val="-1"/>
          <w:sz w:val="18"/>
        </w:rPr>
        <w:t> </w:t>
      </w:r>
      <w:r>
        <w:rPr>
          <w:color w:val="211E1F"/>
          <w:sz w:val="18"/>
        </w:rPr>
        <w:t>the</w:t>
      </w:r>
      <w:r>
        <w:rPr>
          <w:color w:val="211E1F"/>
          <w:spacing w:val="-8"/>
          <w:sz w:val="18"/>
        </w:rPr>
        <w:t> </w:t>
      </w:r>
      <w:r>
        <w:rPr>
          <w:color w:val="211E1F"/>
          <w:sz w:val="18"/>
        </w:rPr>
        <w:t>Provost.</w:t>
      </w:r>
    </w:p>
    <w:p>
      <w:pPr>
        <w:pStyle w:val="ListParagraph"/>
        <w:numPr>
          <w:ilvl w:val="2"/>
          <w:numId w:val="2"/>
        </w:numPr>
        <w:tabs>
          <w:tab w:pos="1559" w:val="left" w:leader="none"/>
          <w:tab w:pos="1560" w:val="left" w:leader="none"/>
        </w:tabs>
        <w:spacing w:line="276" w:lineRule="auto" w:before="4" w:after="0"/>
        <w:ind w:left="1559" w:right="205" w:hanging="360"/>
        <w:jc w:val="left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faculty</w:t>
      </w:r>
      <w:r>
        <w:rPr>
          <w:spacing w:val="1"/>
          <w:sz w:val="18"/>
        </w:rPr>
        <w:t> </w:t>
      </w:r>
      <w:r>
        <w:rPr>
          <w:sz w:val="18"/>
        </w:rPr>
        <w:t>assigned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courses</w:t>
      </w:r>
      <w:r>
        <w:rPr>
          <w:spacing w:val="-6"/>
          <w:sz w:val="18"/>
        </w:rPr>
        <w:t> </w:t>
      </w:r>
      <w:r>
        <w:rPr>
          <w:sz w:val="18"/>
        </w:rPr>
        <w:t>after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instructional</w:t>
      </w:r>
      <w:r>
        <w:rPr>
          <w:spacing w:val="1"/>
          <w:sz w:val="18"/>
        </w:rPr>
        <w:t> </w:t>
      </w:r>
      <w:r>
        <w:rPr>
          <w:sz w:val="18"/>
        </w:rPr>
        <w:t>materials</w:t>
      </w:r>
      <w:r>
        <w:rPr>
          <w:spacing w:val="-7"/>
          <w:sz w:val="18"/>
        </w:rPr>
        <w:t> </w:t>
      </w:r>
      <w:r>
        <w:rPr>
          <w:sz w:val="18"/>
        </w:rPr>
        <w:t>submission</w:t>
      </w:r>
      <w:r>
        <w:rPr>
          <w:spacing w:val="-2"/>
          <w:sz w:val="18"/>
        </w:rPr>
        <w:t> </w:t>
      </w:r>
      <w:r>
        <w:rPr>
          <w:sz w:val="18"/>
        </w:rPr>
        <w:t>deadline,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7"/>
          <w:sz w:val="18"/>
        </w:rPr>
        <w:t> </w:t>
      </w:r>
      <w:r>
        <w:rPr>
          <w:sz w:val="18"/>
        </w:rPr>
        <w:t>faculty member shall have two weeks to work with the campus to choose and submit their</w:t>
      </w:r>
      <w:r>
        <w:rPr>
          <w:spacing w:val="1"/>
          <w:sz w:val="18"/>
        </w:rPr>
        <w:t> </w:t>
      </w:r>
      <w:r>
        <w:rPr>
          <w:sz w:val="18"/>
        </w:rPr>
        <w:t>instructional</w:t>
      </w:r>
      <w:r>
        <w:rPr>
          <w:spacing w:val="2"/>
          <w:sz w:val="18"/>
        </w:rPr>
        <w:t> </w:t>
      </w:r>
      <w:r>
        <w:rPr>
          <w:sz w:val="18"/>
        </w:rPr>
        <w:t>materials.</w:t>
      </w:r>
    </w:p>
    <w:p>
      <w:pPr>
        <w:pStyle w:val="ListParagraph"/>
        <w:numPr>
          <w:ilvl w:val="2"/>
          <w:numId w:val="2"/>
        </w:numPr>
        <w:tabs>
          <w:tab w:pos="1559" w:val="left" w:leader="none"/>
          <w:tab w:pos="1560" w:val="left" w:leader="none"/>
        </w:tabs>
        <w:spacing w:line="276" w:lineRule="auto" w:before="0" w:after="0"/>
        <w:ind w:left="1559" w:right="172" w:hanging="360"/>
        <w:jc w:val="left"/>
        <w:rPr>
          <w:sz w:val="18"/>
        </w:rPr>
      </w:pPr>
      <w:r>
        <w:rPr>
          <w:sz w:val="18"/>
        </w:rPr>
        <w:t>Late-hire faculty may not have the option of submitting their own instructional materials for courses</w:t>
      </w:r>
      <w:r>
        <w:rPr>
          <w:spacing w:val="-47"/>
          <w:sz w:val="18"/>
        </w:rPr>
        <w:t> </w:t>
      </w:r>
      <w:r>
        <w:rPr>
          <w:sz w:val="18"/>
        </w:rPr>
        <w:t>when the materials contain complex content such as graphics, maps, figures, equations, formulas,</w:t>
      </w:r>
      <w:r>
        <w:rPr>
          <w:spacing w:val="1"/>
          <w:sz w:val="18"/>
        </w:rPr>
        <w:t> </w:t>
      </w:r>
      <w:r>
        <w:rPr>
          <w:sz w:val="18"/>
        </w:rPr>
        <w:t>etc., and are needed in an alternative medium such as braille. In such cases, late-hire faculty</w:t>
      </w:r>
      <w:r>
        <w:rPr>
          <w:spacing w:val="1"/>
          <w:sz w:val="18"/>
        </w:rPr>
        <w:t> </w:t>
      </w:r>
      <w:r>
        <w:rPr>
          <w:sz w:val="18"/>
        </w:rPr>
        <w:t>should communicate with the AIMC regarding established course syllabi, schedules, and additional</w:t>
      </w:r>
      <w:r>
        <w:rPr>
          <w:spacing w:val="-47"/>
          <w:sz w:val="18"/>
        </w:rPr>
        <w:t> </w:t>
      </w:r>
      <w:r>
        <w:rPr>
          <w:sz w:val="18"/>
        </w:rPr>
        <w:t>course materials</w:t>
      </w:r>
      <w:r>
        <w:rPr>
          <w:spacing w:val="4"/>
          <w:sz w:val="18"/>
        </w:rPr>
        <w:t> </w:t>
      </w:r>
      <w:r>
        <w:rPr>
          <w:sz w:val="18"/>
        </w:rPr>
        <w:t>that will</w:t>
      </w:r>
      <w:r>
        <w:rPr>
          <w:spacing w:val="3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utilized.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37" w:lineRule="auto" w:before="0" w:after="0"/>
        <w:ind w:left="1199" w:right="644" w:hanging="360"/>
        <w:jc w:val="left"/>
        <w:rPr>
          <w:color w:val="211E1F"/>
          <w:sz w:val="18"/>
        </w:rPr>
      </w:pPr>
      <w:r>
        <w:rPr>
          <w:color w:val="211E1F"/>
          <w:sz w:val="18"/>
        </w:rPr>
        <w:t>Faculty are highly encouraged to utilize the campus learning management system for delivering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technology-enabled course content, and for posting syllabi and instructional materials that are in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accessible formats for their courses. Use of learning management systems shall comply with best</w:t>
      </w:r>
      <w:r>
        <w:rPr>
          <w:color w:val="211E1F"/>
          <w:spacing w:val="-47"/>
          <w:sz w:val="18"/>
        </w:rPr>
        <w:t> </w:t>
      </w:r>
      <w:r>
        <w:rPr>
          <w:color w:val="211E1F"/>
          <w:sz w:val="18"/>
        </w:rPr>
        <w:t>practices</w:t>
      </w:r>
      <w:r>
        <w:rPr>
          <w:color w:val="211E1F"/>
          <w:spacing w:val="3"/>
          <w:sz w:val="18"/>
        </w:rPr>
        <w:t> </w:t>
      </w:r>
      <w:r>
        <w:rPr>
          <w:color w:val="211E1F"/>
          <w:sz w:val="18"/>
        </w:rPr>
        <w:t>in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course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design</w:t>
      </w:r>
      <w:r>
        <w:rPr>
          <w:color w:val="211E1F"/>
          <w:spacing w:val="1"/>
          <w:sz w:val="18"/>
        </w:rPr>
        <w:t> </w:t>
      </w:r>
      <w:r>
        <w:rPr>
          <w:color w:val="211E1F"/>
          <w:sz w:val="18"/>
        </w:rPr>
        <w:t>accessibility.</w:t>
      </w:r>
    </w:p>
    <w:p>
      <w:pPr>
        <w:pStyle w:val="BodyText"/>
        <w:rPr>
          <w:sz w:val="20"/>
        </w:rPr>
      </w:pPr>
    </w:p>
    <w:p>
      <w:pPr>
        <w:pStyle w:val="Heading2"/>
        <w:spacing w:before="164"/>
        <w:ind w:left="119"/>
      </w:pPr>
      <w:bookmarkStart w:name="General Exceptions" w:id="6"/>
      <w:bookmarkEnd w:id="6"/>
      <w:r>
        <w:rPr>
          <w:b w:val="0"/>
        </w:rPr>
      </w:r>
      <w:r>
        <w:rPr>
          <w:color w:val="211E1F"/>
        </w:rPr>
        <w:t>General</w:t>
      </w:r>
      <w:r>
        <w:rPr>
          <w:color w:val="211E1F"/>
          <w:spacing w:val="-12"/>
        </w:rPr>
        <w:t> </w:t>
      </w:r>
      <w:r>
        <w:rPr>
          <w:color w:val="211E1F"/>
        </w:rPr>
        <w:t>Exceptions</w:t>
      </w:r>
    </w:p>
    <w:p>
      <w:pPr>
        <w:pStyle w:val="BodyText"/>
        <w:spacing w:before="59"/>
        <w:ind w:left="119" w:right="165" w:firstLine="720"/>
      </w:pPr>
      <w:r>
        <w:rPr>
          <w:color w:val="211E1F"/>
        </w:rPr>
        <w:t>Exceptions to this policy may be made in cases not subject to time constraints when accessibility of</w:t>
      </w:r>
      <w:r>
        <w:rPr>
          <w:color w:val="211E1F"/>
          <w:spacing w:val="1"/>
        </w:rPr>
        <w:t> </w:t>
      </w:r>
      <w:r>
        <w:rPr>
          <w:color w:val="211E1F"/>
        </w:rPr>
        <w:t>instructional materials cannot be achieved in a reasonable manner (i.e. external national accreditation requirements).</w:t>
      </w:r>
      <w:r>
        <w:rPr>
          <w:color w:val="211E1F"/>
          <w:spacing w:val="-47"/>
        </w:rPr>
        <w:t> </w:t>
      </w:r>
      <w:r>
        <w:rPr>
          <w:color w:val="211E1F"/>
        </w:rPr>
        <w:t>In addition, a department will need to explain to BMAC/the AIMC why, and to what extent, compliance creates an</w:t>
      </w:r>
      <w:r>
        <w:rPr>
          <w:color w:val="211E1F"/>
          <w:spacing w:val="1"/>
        </w:rPr>
        <w:t> </w:t>
      </w:r>
      <w:r>
        <w:rPr>
          <w:color w:val="211E1F"/>
        </w:rPr>
        <w:t>undue burden, along with a plan for the instructional materials to become accessible within a timely manner. (See</w:t>
      </w:r>
      <w:r>
        <w:rPr>
          <w:color w:val="211E1F"/>
          <w:spacing w:val="1"/>
        </w:rPr>
        <w:t> </w:t>
      </w:r>
      <w:r>
        <w:rPr>
          <w:color w:val="211E1F"/>
        </w:rPr>
        <w:t>CSULB</w:t>
      </w:r>
      <w:r>
        <w:rPr>
          <w:color w:val="211E1F"/>
          <w:spacing w:val="1"/>
        </w:rPr>
        <w:t> </w:t>
      </w:r>
      <w:r>
        <w:rPr>
          <w:color w:val="211E1F"/>
        </w:rPr>
        <w:t>Website</w:t>
      </w:r>
      <w:r>
        <w:rPr>
          <w:color w:val="211E1F"/>
          <w:spacing w:val="-8"/>
        </w:rPr>
        <w:t> </w:t>
      </w:r>
      <w:r>
        <w:rPr>
          <w:color w:val="211E1F"/>
        </w:rPr>
        <w:t>on</w:t>
      </w:r>
      <w:r>
        <w:rPr>
          <w:color w:val="211E1F"/>
          <w:spacing w:val="1"/>
        </w:rPr>
        <w:t> </w:t>
      </w:r>
      <w:r>
        <w:rPr>
          <w:color w:val="211E1F"/>
        </w:rPr>
        <w:t>Accessible Technology</w:t>
      </w:r>
      <w:r>
        <w:rPr>
          <w:color w:val="211E1F"/>
          <w:spacing w:val="3"/>
        </w:rPr>
        <w:t> </w:t>
      </w:r>
      <w:r>
        <w:rPr>
          <w:color w:val="211E1F"/>
        </w:rPr>
        <w:t>Initiative -</w:t>
      </w:r>
      <w:r>
        <w:rPr>
          <w:color w:val="211E1F"/>
          <w:spacing w:val="-2"/>
        </w:rPr>
        <w:t> </w:t>
      </w:r>
      <w:r>
        <w:rPr>
          <w:color w:val="211E1F"/>
        </w:rPr>
        <w:t>glossary</w:t>
      </w:r>
      <w:r>
        <w:rPr>
          <w:color w:val="211E1F"/>
          <w:spacing w:val="3"/>
        </w:rPr>
        <w:t> </w:t>
      </w:r>
      <w:r>
        <w:rPr>
          <w:color w:val="211E1F"/>
        </w:rPr>
        <w:t>of</w:t>
      </w:r>
      <w:r>
        <w:rPr>
          <w:color w:val="211E1F"/>
          <w:spacing w:val="-7"/>
        </w:rPr>
        <w:t> </w:t>
      </w:r>
      <w:r>
        <w:rPr>
          <w:color w:val="211E1F"/>
        </w:rPr>
        <w:t>"Accessible Technology".)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72pt;margin-top:7.474418pt;width:468pt;height:.75pt;mso-position-horizontal-relative:page;mso-position-vertical-relative:paragraph;z-index:-15728128;mso-wrap-distance-left:0;mso-wrap-distance-right:0" id="docshape2" coordorigin="1440,149" coordsize="9360,15" path="m10800,149l10793,149,1447,149,1440,149,1440,157,1440,164,1447,164,10793,164,10800,164,10800,157,10800,149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spacing w:before="95"/>
        <w:ind w:left="120" w:right="0" w:firstLine="0"/>
        <w:jc w:val="left"/>
        <w:rPr>
          <w:b/>
          <w:sz w:val="18"/>
        </w:rPr>
      </w:pPr>
      <w:r>
        <w:rPr>
          <w:b/>
          <w:color w:val="211E1F"/>
          <w:sz w:val="18"/>
        </w:rPr>
        <w:t>EFFECTIVE:</w:t>
      </w:r>
      <w:r>
        <w:rPr>
          <w:b/>
          <w:color w:val="211E1F"/>
          <w:spacing w:val="-6"/>
          <w:sz w:val="18"/>
        </w:rPr>
        <w:t> </w:t>
      </w:r>
      <w:r>
        <w:rPr>
          <w:b/>
          <w:color w:val="211E1F"/>
          <w:sz w:val="18"/>
        </w:rPr>
        <w:t>Immediately</w:t>
      </w:r>
    </w:p>
    <w:sectPr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681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F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20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60" w:hanging="360"/>
        <w:jc w:val="left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753" w:hanging="180"/>
      </w:pPr>
      <w:rPr>
        <w:rFonts w:hint="default" w:ascii="Symbol" w:hAnsi="Symbol" w:eastAsia="Symbol" w:cs="Symbo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1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2323" w:right="125" w:hanging="8525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am12.safelinks.protection.outlook.com/?url=https%3A%2F%2Fati.calstate.edu%2Finstructional-materials%2Fpolicy&amp;data=04%7C01%7CRobert.Moushon%40csulb.edu%7Cb15e13d40ef14430828108d9efe8e0dc%7Cd175679bacd34644be82af041982977a%7C0%7C0%7C637804605745413757%7CUnknown%7CTWFpbGZsb3d8eyJWIjoiMC4wLjAwMDAiLCJQIjoiV2luMzIiLCJBTiI6Ik1haWwiLCJXVCI6Mn0%3D%7C3000&amp;sdata=z2G%2BYXXYfvsm00rggJ7gjbntZ8ZDlx3t5kS76vvUnXQ%3D&amp;reserved=0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2022-03-04T22:32:19Z</dcterms:created>
  <dcterms:modified xsi:type="dcterms:W3CDTF">2022-03-04T22:32:19Z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2022-03-04T00:00:00Z</vt:filetime>
  </property>
</Properties>
</file>